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C94" w:rsidRPr="007C0C94" w:rsidRDefault="007C0C94">
      <w:r>
        <w:t>Mẫu quy chế lương - thưởng trong doanh nghiệp 2016</w:t>
      </w:r>
      <w:r>
        <w:br/>
        <w:t>Công ty: CP - TNHH - MTV...</w:t>
      </w:r>
      <w:r>
        <w:br/>
        <w:t>Mẫu quy chế lương thưởng của doanh nghiệp: công ty TNHH, Công ty cổ phần. quy định về việc trả lương thưởng phụ cấp cho nhân viên cập nhật theo các quy định về lương thưởng mới nhất năm 2016</w:t>
      </w:r>
      <w:bookmarkStart w:id="0" w:name="_GoBack"/>
      <w:bookmarkEnd w:id="0"/>
    </w:p>
    <w:p w:rsidR="004E5316" w:rsidRDefault="007C0C94">
      <w:pPr>
        <w:rPr>
          <w:lang w:val="en-US"/>
        </w:rPr>
      </w:pPr>
      <w:r>
        <w:rPr>
          <w:noProof/>
          <w:lang w:eastAsia="vi-VN"/>
        </w:rPr>
        <w:drawing>
          <wp:inline distT="0" distB="0" distL="0" distR="0">
            <wp:extent cx="5731510" cy="2910956"/>
            <wp:effectExtent l="0" t="0" r="2540" b="3810"/>
            <wp:docPr id="1" name="Picture 1" descr="Mẫu quy chế lương thưở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ẫu quy chế lương thưởng " descr="Mẫu quy chế lương thưởng "/>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2910956"/>
                    </a:xfrm>
                    <a:prstGeom prst="rect">
                      <a:avLst/>
                    </a:prstGeom>
                    <a:noFill/>
                    <a:ln>
                      <a:noFill/>
                    </a:ln>
                  </pic:spPr>
                </pic:pic>
              </a:graphicData>
            </a:graphic>
          </wp:inline>
        </w:drawing>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I - Mục Đích:</w:t>
      </w:r>
      <w:r w:rsidRPr="007C0C94">
        <w:rPr>
          <w:rFonts w:ascii="Times New Roman" w:eastAsia="Times New Roman" w:hAnsi="Times New Roman" w:cs="Times New Roman"/>
          <w:sz w:val="24"/>
          <w:szCs w:val="24"/>
          <w:lang w:eastAsia="vi-VN"/>
        </w:rPr>
        <w:t xml:space="preserve"> </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Quy định về các khoản mà người lao động nhận được khi tham gia làm việc tại công ty.</w:t>
      </w:r>
      <w:r w:rsidRPr="007C0C94">
        <w:rPr>
          <w:rFonts w:ascii="Times New Roman" w:eastAsia="Times New Roman" w:hAnsi="Times New Roman" w:cs="Times New Roman"/>
          <w:color w:val="000000"/>
          <w:sz w:val="24"/>
          <w:szCs w:val="24"/>
          <w:lang w:eastAsia="vi-VN"/>
        </w:rPr>
        <w:br/>
        <w:t>- Quy định về cách tính lương, mức hưởng của các khoản tiền lương và phụ cấp theo lương.</w:t>
      </w:r>
      <w:r w:rsidRPr="007C0C94">
        <w:rPr>
          <w:rFonts w:ascii="Times New Roman" w:eastAsia="Times New Roman" w:hAnsi="Times New Roman" w:cs="Times New Roman"/>
          <w:color w:val="000000"/>
          <w:sz w:val="24"/>
          <w:szCs w:val="24"/>
          <w:lang w:eastAsia="vi-VN"/>
        </w:rPr>
        <w:br/>
        <w:t>- Quy định</w:t>
      </w:r>
      <w:r w:rsidRPr="007C0C94">
        <w:rPr>
          <w:rFonts w:ascii="Times New Roman" w:eastAsia="Times New Roman" w:hAnsi="Times New Roman" w:cs="Times New Roman"/>
          <w:b/>
          <w:bCs/>
          <w:color w:val="000000"/>
          <w:sz w:val="24"/>
          <w:szCs w:val="24"/>
          <w:lang w:eastAsia="vi-VN"/>
        </w:rPr>
        <w:t xml:space="preserve"> </w:t>
      </w:r>
      <w:r w:rsidRPr="007C0C94">
        <w:rPr>
          <w:rFonts w:ascii="Times New Roman" w:eastAsia="Times New Roman" w:hAnsi="Times New Roman" w:cs="Times New Roman"/>
          <w:color w:val="000000"/>
          <w:sz w:val="24"/>
          <w:szCs w:val="24"/>
          <w:lang w:eastAsia="vi-VN"/>
        </w:rPr>
        <w:t>về</w:t>
      </w:r>
      <w:r w:rsidRPr="007C0C94">
        <w:rPr>
          <w:rFonts w:ascii="Times New Roman" w:eastAsia="Times New Roman" w:hAnsi="Times New Roman" w:cs="Times New Roman"/>
          <w:b/>
          <w:bCs/>
          <w:color w:val="000000"/>
          <w:sz w:val="24"/>
          <w:szCs w:val="24"/>
          <w:lang w:eastAsia="vi-VN"/>
        </w:rPr>
        <w:t xml:space="preserve"> </w:t>
      </w:r>
      <w:r w:rsidRPr="007C0C94">
        <w:rPr>
          <w:rFonts w:ascii="Times New Roman" w:eastAsia="Times New Roman" w:hAnsi="Times New Roman" w:cs="Times New Roman"/>
          <w:color w:val="000000"/>
          <w:sz w:val="24"/>
          <w:szCs w:val="24"/>
          <w:lang w:eastAsia="vi-VN"/>
        </w:rPr>
        <w:t>việc trả lương, trả thưởng cho từng cá nhân, từng bộ phận, nhằm khuyến khích người lao động làm việc, hoàn thành tốt công việc theo chức danh và đóng góp quan trọng vào việc hoàn thành kế hoạch sản xuất kinh doanh của Công ty.</w:t>
      </w:r>
      <w:r w:rsidRPr="007C0C94">
        <w:rPr>
          <w:rFonts w:ascii="Times New Roman" w:eastAsia="Times New Roman" w:hAnsi="Times New Roman" w:cs="Times New Roman"/>
          <w:color w:val="000000"/>
          <w:sz w:val="24"/>
          <w:szCs w:val="24"/>
          <w:lang w:eastAsia="vi-VN"/>
        </w:rPr>
        <w:br/>
        <w:t>- Đảm bảo đời sống cho người lao động Công ty yên tâm công tác, đáp ứng được mức sống cơ bản của cho người lao động Công ty.</w:t>
      </w:r>
      <w:r w:rsidRPr="007C0C94">
        <w:rPr>
          <w:rFonts w:ascii="Times New Roman" w:eastAsia="Times New Roman" w:hAnsi="Times New Roman" w:cs="Times New Roman"/>
          <w:color w:val="000000"/>
          <w:sz w:val="24"/>
          <w:szCs w:val="24"/>
          <w:lang w:eastAsia="vi-VN"/>
        </w:rPr>
        <w:br/>
        <w:t>- Thực hiện theo đúng quy định của pháp luật lao động về lương thưởng và các chế độ cho người lao động.</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II. Căn cứ theo:</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Căn cứ Bộ luật lao động số 10/2012/QH13.</w:t>
      </w:r>
      <w:r w:rsidRPr="007C0C94">
        <w:rPr>
          <w:rFonts w:ascii="Times New Roman" w:eastAsia="Times New Roman" w:hAnsi="Times New Roman" w:cs="Times New Roman"/>
          <w:color w:val="000000"/>
          <w:sz w:val="24"/>
          <w:szCs w:val="24"/>
          <w:lang w:eastAsia="vi-VN"/>
        </w:rPr>
        <w:br/>
        <w:t>- Căn cứ Luật làm việc - Luật số 38/2013/QH13.</w:t>
      </w:r>
      <w:r w:rsidRPr="007C0C94">
        <w:rPr>
          <w:rFonts w:ascii="Times New Roman" w:eastAsia="Times New Roman" w:hAnsi="Times New Roman" w:cs="Times New Roman"/>
          <w:color w:val="000000"/>
          <w:sz w:val="24"/>
          <w:szCs w:val="24"/>
          <w:lang w:eastAsia="vi-VN"/>
        </w:rPr>
        <w:br/>
        <w:t>- Căn cứ Nghị định Số 122/2015/NĐ-CP.</w:t>
      </w:r>
      <w:r w:rsidRPr="007C0C94">
        <w:rPr>
          <w:rFonts w:ascii="Times New Roman" w:eastAsia="Times New Roman" w:hAnsi="Times New Roman" w:cs="Times New Roman"/>
          <w:sz w:val="24"/>
          <w:szCs w:val="24"/>
          <w:lang w:eastAsia="vi-VN"/>
        </w:rPr>
        <w:br/>
      </w:r>
      <w:r w:rsidRPr="007C0C94">
        <w:rPr>
          <w:rFonts w:ascii="Times" w:eastAsia="Times New Roman" w:hAnsi="Times" w:cs="Times"/>
          <w:color w:val="000000"/>
          <w:sz w:val="24"/>
          <w:szCs w:val="24"/>
          <w:lang w:eastAsia="vi-VN"/>
        </w:rPr>
        <w:t>- Căn cứ Luật Doanh nghiệp - Luật số 68/2014/QH13.</w:t>
      </w:r>
      <w:r w:rsidRPr="007C0C94">
        <w:rPr>
          <w:rFonts w:ascii="Times New Roman" w:eastAsia="Times New Roman" w:hAnsi="Times New Roman" w:cs="Times New Roman"/>
          <w:sz w:val="24"/>
          <w:szCs w:val="24"/>
          <w:lang w:eastAsia="vi-VN"/>
        </w:rPr>
        <w:br/>
      </w:r>
      <w:r w:rsidRPr="007C0C94">
        <w:rPr>
          <w:rFonts w:ascii="Times New Roman" w:eastAsia="Times New Roman" w:hAnsi="Times New Roman" w:cs="Times New Roman"/>
          <w:color w:val="000000"/>
          <w:sz w:val="24"/>
          <w:szCs w:val="24"/>
          <w:lang w:eastAsia="vi-VN"/>
        </w:rPr>
        <w:t>- Căn cứ vào điều lệ tổ chức và hoạt động của công ty.</w:t>
      </w:r>
      <w:r w:rsidRPr="007C0C94">
        <w:rPr>
          <w:rFonts w:ascii="Times New Roman" w:eastAsia="Times New Roman" w:hAnsi="Times New Roman" w:cs="Times New Roman"/>
          <w:color w:val="000000"/>
          <w:sz w:val="24"/>
          <w:szCs w:val="24"/>
          <w:lang w:eastAsia="vi-VN"/>
        </w:rPr>
        <w:br/>
        <w:t>- Căn cứ vào biên bản họp Hội đồng thành viên ngày 15/12/2015 về việc thông qua quy chế trả lương, thưởng của công ty từ năm 2016.</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i/>
          <w:iCs/>
          <w:color w:val="000000"/>
          <w:sz w:val="24"/>
          <w:szCs w:val="24"/>
          <w:lang w:eastAsia="vi-VN"/>
        </w:rPr>
        <w:t xml:space="preserve">- </w:t>
      </w:r>
      <w:r w:rsidRPr="007C0C94">
        <w:rPr>
          <w:rFonts w:ascii="Times New Roman" w:eastAsia="Times New Roman" w:hAnsi="Times New Roman" w:cs="Times New Roman"/>
          <w:color w:val="000000"/>
          <w:sz w:val="24"/>
          <w:szCs w:val="24"/>
          <w:lang w:eastAsia="vi-VN"/>
        </w:rPr>
        <w:t> Những nội dung quy định trong quy chế này có hiệu lực kể từ ngày được Sở Lao động – Thương binh xã hội TP Hà Nội thừa nhận, bãi bỏ các quy định trước đây trái với quy chế này.</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III – Phạm Vi:</w:t>
      </w:r>
      <w:r w:rsidRPr="007C0C94">
        <w:rPr>
          <w:rFonts w:ascii="Times New Roman" w:eastAsia="Times New Roman" w:hAnsi="Times New Roman" w:cs="Times New Roman"/>
          <w:sz w:val="24"/>
          <w:szCs w:val="24"/>
          <w:lang w:eastAsia="vi-VN"/>
        </w:rPr>
        <w:t xml:space="preserve"> </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Áp dụng cho toàn bộ người lao động tham gia làm việc tại công ty.</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IV – NỘI DUNG:</w:t>
      </w:r>
      <w:r w:rsidRPr="007C0C94">
        <w:rPr>
          <w:rFonts w:ascii="Times New Roman" w:eastAsia="Times New Roman" w:hAnsi="Times New Roman" w:cs="Times New Roman"/>
          <w:color w:val="000000"/>
          <w:sz w:val="24"/>
          <w:szCs w:val="24"/>
          <w:lang w:eastAsia="vi-VN"/>
        </w:rPr>
        <w:br/>
        <w:t> </w:t>
      </w:r>
      <w:r w:rsidRPr="007C0C94">
        <w:rPr>
          <w:rFonts w:ascii="Times New Roman" w:eastAsia="Times New Roman" w:hAnsi="Times New Roman" w:cs="Times New Roman"/>
          <w:sz w:val="24"/>
          <w:szCs w:val="24"/>
          <w:lang w:eastAsia="vi-VN"/>
        </w:rPr>
        <w:t xml:space="preserve"> </w:t>
      </w:r>
    </w:p>
    <w:p w:rsidR="007C0C94" w:rsidRPr="007C0C94" w:rsidRDefault="007C0C94" w:rsidP="007C0C94">
      <w:pPr>
        <w:spacing w:before="100" w:beforeAutospacing="1" w:after="100" w:afterAutospacing="1" w:line="240" w:lineRule="auto"/>
        <w:jc w:val="center"/>
        <w:outlineLvl w:val="2"/>
        <w:rPr>
          <w:rFonts w:ascii="Times New Roman" w:eastAsia="Times New Roman" w:hAnsi="Times New Roman" w:cs="Times New Roman"/>
          <w:b/>
          <w:bCs/>
          <w:sz w:val="27"/>
          <w:szCs w:val="27"/>
          <w:lang w:eastAsia="vi-VN"/>
        </w:rPr>
      </w:pPr>
      <w:r w:rsidRPr="007C0C94">
        <w:rPr>
          <w:rFonts w:ascii="Times New Roman" w:eastAsia="Times New Roman" w:hAnsi="Times New Roman" w:cs="Times New Roman"/>
          <w:b/>
          <w:bCs/>
          <w:color w:val="000000"/>
          <w:sz w:val="24"/>
          <w:szCs w:val="24"/>
          <w:lang w:eastAsia="vi-VN"/>
        </w:rPr>
        <w:lastRenderedPageBreak/>
        <w:t>PHẦN I</w:t>
      </w:r>
      <w:r w:rsidRPr="007C0C94">
        <w:rPr>
          <w:rFonts w:ascii="Times New Roman" w:eastAsia="Times New Roman" w:hAnsi="Times New Roman" w:cs="Times New Roman"/>
          <w:b/>
          <w:bCs/>
          <w:color w:val="000000"/>
          <w:sz w:val="24"/>
          <w:szCs w:val="24"/>
          <w:lang w:eastAsia="vi-VN"/>
        </w:rPr>
        <w:br/>
        <w:t>NHỮNG QUỸ ĐỊNH CHUNG</w:t>
      </w:r>
      <w:r w:rsidRPr="007C0C94">
        <w:rPr>
          <w:rFonts w:ascii="Times" w:eastAsia="Times New Roman" w:hAnsi="Times" w:cs="Times"/>
          <w:b/>
          <w:bCs/>
          <w:color w:val="000000"/>
          <w:sz w:val="24"/>
          <w:szCs w:val="24"/>
          <w:lang w:eastAsia="vi-VN"/>
        </w:rPr>
        <w:t> </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 xml:space="preserve">1. Lương chính: </w:t>
      </w:r>
      <w:r w:rsidRPr="007C0C94">
        <w:rPr>
          <w:rFonts w:ascii="Times New Roman" w:eastAsia="Times New Roman" w:hAnsi="Times New Roman" w:cs="Times New Roman"/>
          <w:color w:val="000000"/>
          <w:sz w:val="24"/>
          <w:szCs w:val="24"/>
          <w:lang w:eastAsia="vi-VN"/>
        </w:rPr>
        <w:t>là mức lương được trả cho Người lao động làm việc hành chính trong điều kiện bình thường theo thời gian làm việc thực tế trong tháng. Lương này được xác định theo Quy định tại Nghị định số: 122/2015/NĐ-CP về mức lương tối thiểu vùng.</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2. Lương đóng BHXH:</w:t>
      </w:r>
      <w:r w:rsidRPr="007C0C94">
        <w:rPr>
          <w:rFonts w:ascii="Times New Roman" w:eastAsia="Times New Roman" w:hAnsi="Times New Roman" w:cs="Times New Roman"/>
          <w:color w:val="000000"/>
          <w:sz w:val="24"/>
          <w:szCs w:val="24"/>
          <w:lang w:eastAsia="vi-VN"/>
        </w:rPr>
        <w:t xml:space="preserve"> Là mức tiền lương và phụ cấp lương theo quy định tại khoản 1 và điểm a tại khoản 2 Điều 4 của Thông tư 47/2015/TT-BLĐTBXH.</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 xml:space="preserve">3. Lương thử việc: </w:t>
      </w:r>
      <w:r w:rsidRPr="007C0C94">
        <w:rPr>
          <w:rFonts w:ascii="Times New Roman" w:eastAsia="Times New Roman" w:hAnsi="Times New Roman" w:cs="Times New Roman"/>
          <w:color w:val="000000"/>
          <w:sz w:val="24"/>
          <w:szCs w:val="24"/>
          <w:lang w:eastAsia="vi-VN"/>
        </w:rPr>
        <w:t>hưởng 85% lương mức lương của công việc đó.</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4. Lương khoán:</w:t>
      </w:r>
      <w:r w:rsidRPr="007C0C94">
        <w:rPr>
          <w:rFonts w:ascii="Times New Roman" w:eastAsia="Times New Roman" w:hAnsi="Times New Roman" w:cs="Times New Roman"/>
          <w:color w:val="000000"/>
          <w:sz w:val="24"/>
          <w:szCs w:val="24"/>
          <w:lang w:eastAsia="vi-VN"/>
        </w:rPr>
        <w:t xml:space="preserve"> là lương dành cho các cá nhân trực tiếp làm công việc có tính chất thời vụ, vụ việc, những công việc được giao trong một thời gian nhất định, theo một khối lượng công việc cụ thể thông qua hợp đồng khoán việc.</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5. Cách tính lương:</w:t>
      </w:r>
      <w:r w:rsidRPr="007C0C94">
        <w:rPr>
          <w:rFonts w:ascii="Times New Roman" w:eastAsia="Times New Roman" w:hAnsi="Times New Roman" w:cs="Times New Roman"/>
          <w:color w:val="000000"/>
          <w:sz w:val="24"/>
          <w:szCs w:val="24"/>
          <w:lang w:eastAsia="vi-VN"/>
        </w:rPr>
        <w:t> Áp dụng hình thức trả lương theo thời gian làm việc thực tế trong tháng thông qua ngày công chuẩn làm việc của tháng.</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6. Lương thời gian:</w:t>
      </w:r>
      <w:r w:rsidRPr="007C0C94">
        <w:rPr>
          <w:rFonts w:ascii="Times New Roman" w:eastAsia="Times New Roman" w:hAnsi="Times New Roman" w:cs="Times New Roman"/>
          <w:color w:val="000000"/>
          <w:sz w:val="24"/>
          <w:szCs w:val="24"/>
          <w:lang w:eastAsia="vi-VN"/>
        </w:rPr>
        <w:t xml:space="preserve"> được áp dụng cho toàn thể nhân viên và lãnh đạo tham gia làm việc trong công ty.</w:t>
      </w:r>
    </w:p>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PHẦN II</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CÁC KHOẢN PHỤ CẤP VÀ TRỢ CẤP</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Ngoài lương chính được thoả thuận và ghi cụ thể trong Hợp đồng lao động thì người lao động còn nhận được các khoản phụ cấp, trợ cấp như sau:</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1. Phụ cấp</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1.1 Các chức danh:</w:t>
      </w:r>
      <w:r w:rsidRPr="007C0C94">
        <w:rPr>
          <w:rFonts w:ascii="Times New Roman" w:eastAsia="Times New Roman" w:hAnsi="Times New Roman" w:cs="Times New Roman"/>
          <w:color w:val="000000"/>
          <w:sz w:val="24"/>
          <w:szCs w:val="24"/>
          <w:lang w:eastAsia="vi-VN"/>
        </w:rPr>
        <w:t xml:space="preserve"> Giám đốc, Phó Giám đốc, Kế toán trưởng, Trưởng phòng kinh doanh: được hưởng phụ cấp trách nhiệm, theo mức sau:</w:t>
      </w:r>
    </w:p>
    <w:tbl>
      <w:tblPr>
        <w:tblW w:w="945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45"/>
        <w:gridCol w:w="1459"/>
        <w:gridCol w:w="1747"/>
        <w:gridCol w:w="1697"/>
        <w:gridCol w:w="2002"/>
      </w:tblGrid>
      <w:tr w:rsidR="007C0C94" w:rsidRPr="007C0C94" w:rsidTr="007C0C94">
        <w:trPr>
          <w:trHeight w:val="555"/>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Chức danh</w:t>
            </w:r>
          </w:p>
        </w:tc>
        <w:tc>
          <w:tcPr>
            <w:tcW w:w="129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Giám đốc</w:t>
            </w:r>
          </w:p>
        </w:tc>
        <w:tc>
          <w:tcPr>
            <w:tcW w:w="1545"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Phó</w:t>
            </w:r>
            <w:r w:rsidRPr="007C0C94">
              <w:rPr>
                <w:rFonts w:ascii="Times New Roman" w:eastAsia="Times New Roman" w:hAnsi="Times New Roman" w:cs="Times New Roman"/>
                <w:color w:val="000000"/>
                <w:sz w:val="24"/>
                <w:szCs w:val="24"/>
                <w:lang w:eastAsia="vi-VN"/>
              </w:rPr>
              <w:br/>
              <w:t>Giám đốc</w:t>
            </w:r>
          </w:p>
        </w:tc>
        <w:tc>
          <w:tcPr>
            <w:tcW w:w="150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Kế toán trưởng</w:t>
            </w:r>
          </w:p>
        </w:tc>
        <w:tc>
          <w:tcPr>
            <w:tcW w:w="177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Trưởng phòng</w:t>
            </w:r>
            <w:r w:rsidRPr="007C0C94">
              <w:rPr>
                <w:rFonts w:ascii="Times New Roman" w:eastAsia="Times New Roman" w:hAnsi="Times New Roman" w:cs="Times New Roman"/>
                <w:color w:val="000000"/>
                <w:sz w:val="24"/>
                <w:szCs w:val="24"/>
                <w:lang w:eastAsia="vi-VN"/>
              </w:rPr>
              <w:br/>
              <w:t>Kinh doanh</w:t>
            </w:r>
          </w:p>
        </w:tc>
      </w:tr>
      <w:tr w:rsidR="007C0C94" w:rsidRPr="007C0C94" w:rsidTr="007C0C94">
        <w:trPr>
          <w:trHeight w:val="540"/>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Mức hưởng</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phụ cấp trách nhiệm</w:t>
            </w:r>
          </w:p>
        </w:tc>
        <w:tc>
          <w:tcPr>
            <w:tcW w:w="129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3.000.000</w:t>
            </w:r>
          </w:p>
        </w:tc>
        <w:tc>
          <w:tcPr>
            <w:tcW w:w="1545"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2.000.000</w:t>
            </w:r>
          </w:p>
        </w:tc>
        <w:tc>
          <w:tcPr>
            <w:tcW w:w="150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1.000.000</w:t>
            </w:r>
          </w:p>
        </w:tc>
        <w:tc>
          <w:tcPr>
            <w:tcW w:w="177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1.500.000</w:t>
            </w:r>
          </w:p>
        </w:tc>
      </w:tr>
    </w:tbl>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 xml:space="preserve">1.2 Toàn bộ Người lao động chính thức (không bao gồm Lao động thời vụ) ký Hợp đồng lao động từ 3 tháng trở lên: </w:t>
      </w:r>
      <w:r w:rsidRPr="007C0C94">
        <w:rPr>
          <w:rFonts w:ascii="Times New Roman" w:eastAsia="Times New Roman" w:hAnsi="Times New Roman" w:cs="Times New Roman"/>
          <w:color w:val="000000"/>
          <w:sz w:val="24"/>
          <w:szCs w:val="24"/>
          <w:lang w:eastAsia="vi-VN"/>
        </w:rPr>
        <w:t>được hưởng các khoản phụ cấp như sau:</w:t>
      </w:r>
    </w:p>
    <w:tbl>
      <w:tblPr>
        <w:tblW w:w="945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3"/>
        <w:gridCol w:w="1755"/>
        <w:gridCol w:w="1789"/>
        <w:gridCol w:w="1873"/>
      </w:tblGrid>
      <w:tr w:rsidR="007C0C94" w:rsidRPr="007C0C94" w:rsidTr="007C0C94">
        <w:trPr>
          <w:tblCellSpacing w:w="0" w:type="dxa"/>
        </w:trPr>
        <w:tc>
          <w:tcPr>
            <w:tcW w:w="3585" w:type="dxa"/>
            <w:vMerge w:val="restart"/>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Chức danh</w:t>
            </w:r>
          </w:p>
        </w:tc>
        <w:tc>
          <w:tcPr>
            <w:tcW w:w="4815" w:type="dxa"/>
            <w:gridSpan w:val="3"/>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Mức phụ cấp/ tháng</w:t>
            </w:r>
          </w:p>
        </w:tc>
      </w:tr>
      <w:tr w:rsidR="007C0C94" w:rsidRPr="007C0C94" w:rsidTr="007C0C9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Ăn trưa</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Điện thoại</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Xăng xe</w:t>
            </w:r>
          </w:p>
        </w:tc>
      </w:tr>
      <w:tr w:rsidR="007C0C94" w:rsidRPr="007C0C94"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Giám đốc</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1.500.000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1.000.000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500.000</w:t>
            </w:r>
          </w:p>
        </w:tc>
      </w:tr>
      <w:tr w:rsidR="007C0C94" w:rsidRPr="007C0C94"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Phó Giám đốc</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1.300.000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800.000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400.000</w:t>
            </w:r>
          </w:p>
        </w:tc>
      </w:tr>
      <w:tr w:rsidR="007C0C94" w:rsidRPr="007C0C94"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Kế toán trưởng</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1.200.000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600.000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300.000</w:t>
            </w:r>
          </w:p>
        </w:tc>
      </w:tr>
      <w:tr w:rsidR="007C0C94" w:rsidRPr="007C0C94"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Trưởng phòng kinh doanh</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1.200.000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800.000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800.000</w:t>
            </w:r>
          </w:p>
        </w:tc>
      </w:tr>
      <w:tr w:rsidR="007C0C94" w:rsidRPr="007C0C94"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Nhân viên kế toán</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1.000.000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300.000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300.000</w:t>
            </w:r>
          </w:p>
        </w:tc>
      </w:tr>
      <w:tr w:rsidR="007C0C94" w:rsidRPr="007C0C94"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Nhân viên kinh doanh</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1.000.000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300.000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300.000</w:t>
            </w:r>
          </w:p>
        </w:tc>
      </w:tr>
      <w:tr w:rsidR="007C0C94" w:rsidRPr="007C0C94"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Nhân viên bán hàng</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1.000.000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300.000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300.000</w:t>
            </w:r>
          </w:p>
        </w:tc>
      </w:tr>
      <w:tr w:rsidR="007C0C94" w:rsidRPr="007C0C94"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Thủ Quỹ</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1.000.000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300.000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300.000</w:t>
            </w:r>
          </w:p>
        </w:tc>
      </w:tr>
      <w:tr w:rsidR="007C0C94" w:rsidRPr="007C0C94"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Thủ Kho</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1.000.000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300.000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300.000</w:t>
            </w:r>
          </w:p>
        </w:tc>
      </w:tr>
    </w:tbl>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u w:val="single"/>
          <w:lang w:eastAsia="vi-VN"/>
        </w:rPr>
        <w:t>Ghi chú</w:t>
      </w:r>
      <w:r w:rsidRPr="007C0C94">
        <w:rPr>
          <w:rFonts w:ascii="Times New Roman" w:eastAsia="Times New Roman" w:hAnsi="Times New Roman" w:cs="Times New Roman"/>
          <w:color w:val="000000"/>
          <w:sz w:val="24"/>
          <w:szCs w:val="24"/>
          <w:lang w:eastAsia="vi-VN"/>
        </w:rPr>
        <w:t>:</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Đây là mức phụ cấp cao nhất mà người lao động được phân công làm việc theo các chức danh trên có thể nhận được.</w:t>
      </w:r>
      <w:r w:rsidRPr="007C0C94">
        <w:rPr>
          <w:rFonts w:ascii="Times New Roman" w:eastAsia="Times New Roman" w:hAnsi="Times New Roman" w:cs="Times New Roman"/>
          <w:color w:val="000000"/>
          <w:sz w:val="24"/>
          <w:szCs w:val="24"/>
          <w:lang w:eastAsia="vi-VN"/>
        </w:rPr>
        <w:br/>
        <w:t>- Mức hưởng cụ thể được ghi trong Hợp đồng lao động hoặc quyết định của hội đồng thành viên cho từng cá nhân.</w:t>
      </w:r>
      <w:r w:rsidRPr="007C0C94">
        <w:rPr>
          <w:rFonts w:ascii="Times New Roman" w:eastAsia="Times New Roman" w:hAnsi="Times New Roman" w:cs="Times New Roman"/>
          <w:color w:val="000000"/>
          <w:sz w:val="24"/>
          <w:szCs w:val="24"/>
          <w:lang w:eastAsia="vi-VN"/>
        </w:rPr>
        <w:br/>
        <w:t>- Mức hưởng trên là tính cho 1 tháng đi làm đầy đủ theo ngày công hành chính trong tháng.</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lastRenderedPageBreak/>
        <w:t xml:space="preserve">1.3 Những Người lao động ký Hợp đồng lao động dưới 3 tháng (Thử việc, khoán, thời vụ): </w:t>
      </w:r>
      <w:r w:rsidRPr="007C0C94">
        <w:rPr>
          <w:rFonts w:ascii="Times New Roman" w:eastAsia="Times New Roman" w:hAnsi="Times New Roman" w:cs="Times New Roman"/>
          <w:color w:val="000000"/>
          <w:sz w:val="24"/>
          <w:szCs w:val="24"/>
          <w:lang w:eastAsia="vi-VN"/>
        </w:rPr>
        <w:t>được thoả thuận các khoản phụ cấp cụ thể trong Hợp đồng lao động.</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2. Trợ cấp:</w:t>
      </w:r>
      <w:r w:rsidRPr="007C0C94">
        <w:rPr>
          <w:rFonts w:ascii="Times New Roman" w:eastAsia="Times New Roman" w:hAnsi="Times New Roman" w:cs="Times New Roman"/>
          <w:sz w:val="24"/>
          <w:szCs w:val="24"/>
          <w:lang w:eastAsia="vi-VN"/>
        </w:rPr>
        <w:t xml:space="preserve"> </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Toàn bộ lao động chính thức (không bao gồm Lao động thời vụ) ký Hợp đồng lao động từ 6 tháng trở lên được hưởng tiền hỗ trợ thuê nhà từ 1.000.000 đến 2.000.000 trên 1 tháng.</w:t>
      </w:r>
      <w:r w:rsidRPr="007C0C94">
        <w:rPr>
          <w:rFonts w:ascii="Times New Roman" w:eastAsia="Times New Roman" w:hAnsi="Times New Roman" w:cs="Times New Roman"/>
          <w:color w:val="000000"/>
          <w:sz w:val="24"/>
          <w:szCs w:val="24"/>
          <w:lang w:eastAsia="vi-VN"/>
        </w:rPr>
        <w:br/>
        <w:t>- Mức hưởng cụ thể của từng lao động được thể hiện chi tiết trong Hợp đồng lao động hoặc tại Quyết định của Hội đồng thành viên công ty.</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 xml:space="preserve">3. Các khoản phúc lợi khác: </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3.1</w:t>
      </w:r>
      <w:r w:rsidRPr="007C0C94">
        <w:rPr>
          <w:rFonts w:ascii="Times New Roman" w:eastAsia="Times New Roman" w:hAnsi="Times New Roman" w:cs="Times New Roman"/>
          <w:color w:val="000000"/>
          <w:sz w:val="24"/>
          <w:szCs w:val="24"/>
          <w:lang w:eastAsia="vi-VN"/>
        </w:rPr>
        <w:t xml:space="preserve"> </w:t>
      </w:r>
      <w:r w:rsidRPr="007C0C94">
        <w:rPr>
          <w:rFonts w:ascii="Times New Roman" w:eastAsia="Times New Roman" w:hAnsi="Times New Roman" w:cs="Times New Roman"/>
          <w:b/>
          <w:bCs/>
          <w:color w:val="000000"/>
          <w:sz w:val="24"/>
          <w:szCs w:val="24"/>
          <w:lang w:eastAsia="vi-VN"/>
        </w:rPr>
        <w:t>Hàng năm</w:t>
      </w:r>
      <w:r w:rsidRPr="007C0C94">
        <w:rPr>
          <w:rFonts w:ascii="Times New Roman" w:eastAsia="Times New Roman" w:hAnsi="Times New Roman" w:cs="Times New Roman"/>
          <w:color w:val="000000"/>
          <w:sz w:val="24"/>
          <w:szCs w:val="24"/>
          <w:lang w:eastAsia="vi-VN"/>
        </w:rPr>
        <w:t>: người lao động được tổ chức đi thăm quan, thắng cảnh, nghỉ mát theo quyết định tại từng thời điểm của ban lãnh đạo công ty.</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3.2 Chế độ hiếu hỉ:</w:t>
      </w:r>
      <w:r w:rsidRPr="007C0C94">
        <w:rPr>
          <w:rFonts w:ascii="Times New Roman" w:eastAsia="Times New Roman" w:hAnsi="Times New Roman" w:cs="Times New Roman"/>
          <w:color w:val="000000"/>
          <w:sz w:val="24"/>
          <w:szCs w:val="24"/>
          <w:lang w:eastAsia="vi-VN"/>
        </w:rPr>
        <w:br/>
        <w:t>+ Bản thân người lao động: 1.000.000đồng/ người/lần</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Vợ/chồng; bố, mẹ, con, anh, chị em ruột: 500.000đồng/người/ lần.</w:t>
      </w:r>
    </w:p>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30"/>
          <w:szCs w:val="30"/>
          <w:lang w:eastAsia="vi-VN"/>
        </w:rPr>
        <w:t>PHẦN III</w:t>
      </w:r>
      <w:r w:rsidRPr="007C0C94">
        <w:rPr>
          <w:rFonts w:ascii="Times New Roman" w:eastAsia="Times New Roman" w:hAnsi="Times New Roman" w:cs="Times New Roman"/>
          <w:color w:val="000000"/>
          <w:sz w:val="30"/>
          <w:szCs w:val="30"/>
          <w:lang w:eastAsia="vi-VN"/>
        </w:rPr>
        <w:br/>
      </w:r>
      <w:r w:rsidRPr="007C0C94">
        <w:rPr>
          <w:rFonts w:ascii="Times New Roman" w:eastAsia="Times New Roman" w:hAnsi="Times New Roman" w:cs="Times New Roman"/>
          <w:b/>
          <w:bCs/>
          <w:color w:val="000000"/>
          <w:sz w:val="30"/>
          <w:szCs w:val="30"/>
          <w:lang w:eastAsia="vi-VN"/>
        </w:rPr>
        <w:t>TÍNH VÀ TRẢ LƯƠNG</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1. Việc tính toán lương dựa trên nguyên tắc:</w:t>
      </w:r>
      <w:r w:rsidRPr="007C0C94">
        <w:rPr>
          <w:rFonts w:ascii="Times New Roman" w:eastAsia="Times New Roman" w:hAnsi="Times New Roman" w:cs="Times New Roman"/>
          <w:color w:val="000000"/>
          <w:sz w:val="24"/>
          <w:szCs w:val="24"/>
          <w:lang w:eastAsia="vi-VN"/>
        </w:rPr>
        <w:t xml:space="preserve"> chính xác về số liệu, đảm bảo thời gian trả lương cho người lao động đúng theo quy định.</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2. Căn cứ để tính lương cho người lao động</w:t>
      </w:r>
      <w:r w:rsidRPr="007C0C94">
        <w:rPr>
          <w:rFonts w:ascii="Times New Roman" w:eastAsia="Times New Roman" w:hAnsi="Times New Roman" w:cs="Times New Roman"/>
          <w:color w:val="000000"/>
          <w:sz w:val="24"/>
          <w:szCs w:val="24"/>
          <w:lang w:eastAsia="vi-VN"/>
        </w:rPr>
        <w:t>: dựa vào thời gian làm việc trên bảng chấm công.</w:t>
      </w:r>
      <w:r w:rsidRPr="007C0C94">
        <w:rPr>
          <w:rFonts w:ascii="Times New Roman" w:eastAsia="Times New Roman" w:hAnsi="Times New Roman" w:cs="Times New Roman"/>
          <w:color w:val="000000"/>
          <w:sz w:val="24"/>
          <w:szCs w:val="24"/>
          <w:lang w:eastAsia="vi-VN"/>
        </w:rPr>
        <w:br/>
        <w:t> </w:t>
      </w:r>
    </w:p>
    <w:tbl>
      <w:tblPr>
        <w:tblW w:w="0" w:type="auto"/>
        <w:tblCellSpacing w:w="0" w:type="dxa"/>
        <w:tblCellMar>
          <w:left w:w="0" w:type="dxa"/>
          <w:right w:w="0" w:type="dxa"/>
        </w:tblCellMar>
        <w:tblLook w:val="04A0" w:firstRow="1" w:lastRow="0" w:firstColumn="1" w:lastColumn="0" w:noHBand="0" w:noVBand="1"/>
      </w:tblPr>
      <w:tblGrid>
        <w:gridCol w:w="1552"/>
        <w:gridCol w:w="328"/>
        <w:gridCol w:w="4265"/>
        <w:gridCol w:w="373"/>
        <w:gridCol w:w="2508"/>
      </w:tblGrid>
      <w:tr w:rsidR="007C0C94" w:rsidRPr="007C0C94" w:rsidTr="007C0C94">
        <w:trPr>
          <w:tblCellSpacing w:w="0" w:type="dxa"/>
        </w:trPr>
        <w:tc>
          <w:tcPr>
            <w:tcW w:w="1635" w:type="dxa"/>
            <w:vMerge w:val="restart"/>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Tiền lương tháng</w:t>
            </w:r>
          </w:p>
        </w:tc>
        <w:tc>
          <w:tcPr>
            <w:tcW w:w="345" w:type="dxa"/>
            <w:vMerge w:val="restart"/>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w:t>
            </w:r>
          </w:p>
        </w:tc>
        <w:tc>
          <w:tcPr>
            <w:tcW w:w="4560" w:type="dxa"/>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Tiền lương chính + Phụ cấp, trợ cấp (nếu có)</w:t>
            </w:r>
          </w:p>
        </w:tc>
        <w:tc>
          <w:tcPr>
            <w:tcW w:w="390" w:type="dxa"/>
            <w:vMerge w:val="restart"/>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X</w:t>
            </w:r>
          </w:p>
        </w:tc>
        <w:tc>
          <w:tcPr>
            <w:tcW w:w="2685" w:type="dxa"/>
            <w:vMerge w:val="restart"/>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Số ngày làm việc thực tế</w:t>
            </w:r>
          </w:p>
        </w:tc>
      </w:tr>
      <w:tr w:rsidR="007C0C94" w:rsidRPr="007C0C94" w:rsidTr="007C0C94">
        <w:trPr>
          <w:tblCellSpacing w:w="0" w:type="dxa"/>
        </w:trPr>
        <w:tc>
          <w:tcPr>
            <w:tcW w:w="0" w:type="auto"/>
            <w:vMerge/>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p>
        </w:tc>
        <w:tc>
          <w:tcPr>
            <w:tcW w:w="0" w:type="auto"/>
            <w:vMerge/>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p>
        </w:tc>
        <w:tc>
          <w:tcPr>
            <w:tcW w:w="4560" w:type="dxa"/>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Tổng số ngày công chuẩn của tháng</w:t>
            </w:r>
          </w:p>
        </w:tc>
        <w:tc>
          <w:tcPr>
            <w:tcW w:w="0" w:type="auto"/>
            <w:vMerge/>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p>
        </w:tc>
        <w:tc>
          <w:tcPr>
            <w:tcW w:w="0" w:type="auto"/>
            <w:vMerge/>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p>
        </w:tc>
      </w:tr>
    </w:tbl>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w:t>
      </w:r>
      <w:r w:rsidRPr="007C0C94">
        <w:rPr>
          <w:rFonts w:ascii="Times New Roman" w:eastAsia="Times New Roman" w:hAnsi="Times New Roman" w:cs="Times New Roman"/>
          <w:color w:val="000000"/>
          <w:sz w:val="24"/>
          <w:szCs w:val="24"/>
          <w:lang w:eastAsia="vi-VN"/>
        </w:rPr>
        <w:br/>
        <w:t>Việc xác định ngày công chuẩn của tháng được xác định như sau:</w:t>
      </w:r>
      <w:r w:rsidRPr="007C0C94">
        <w:rPr>
          <w:rFonts w:ascii="Times New Roman" w:eastAsia="Times New Roman" w:hAnsi="Times New Roman" w:cs="Times New Roman"/>
          <w:sz w:val="24"/>
          <w:szCs w:val="24"/>
          <w:lang w:eastAsia="vi-VN"/>
        </w:rPr>
        <w:t xml:space="preserve"> </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Ngày làm việc trong tuần: từ thứ 2 đến thứ 7</w:t>
      </w:r>
      <w:r w:rsidRPr="007C0C94">
        <w:rPr>
          <w:rFonts w:ascii="Times New Roman" w:eastAsia="Times New Roman" w:hAnsi="Times New Roman" w:cs="Times New Roman"/>
          <w:color w:val="000000"/>
          <w:sz w:val="24"/>
          <w:szCs w:val="24"/>
          <w:lang w:eastAsia="vi-VN"/>
        </w:rPr>
        <w:br/>
        <w:t>+ Người lao động được nghỉ các ngày chủ nhật và các ngày nghỉ lễ tết - nghỉ hưởng nguyên lương theo quy định tại điều 115 của Bộ luật lao động.</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 xml:space="preserve">3. Thời hạn trả lương: </w:t>
      </w:r>
      <w:r w:rsidRPr="007C0C94">
        <w:rPr>
          <w:rFonts w:ascii="Times New Roman" w:eastAsia="Times New Roman" w:hAnsi="Times New Roman" w:cs="Times New Roman"/>
          <w:color w:val="000000"/>
          <w:sz w:val="24"/>
          <w:szCs w:val="24"/>
          <w:lang w:eastAsia="vi-VN"/>
        </w:rPr>
        <w:t>Toàn bộ lãnh đạo và nhân viên trong công ty được trả lương vào ngày cuối tháng.</w:t>
      </w:r>
      <w:r w:rsidRPr="007C0C94">
        <w:rPr>
          <w:rFonts w:ascii="Times New Roman" w:eastAsia="Times New Roman" w:hAnsi="Times New Roman" w:cs="Times New Roman"/>
          <w:color w:val="000000"/>
          <w:sz w:val="24"/>
          <w:szCs w:val="24"/>
          <w:lang w:eastAsia="vi-VN"/>
        </w:rPr>
        <w:br/>
        <w:t> </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 xml:space="preserve">4. Tiền lương làm việc thêm giờ: </w:t>
      </w:r>
      <w:r w:rsidRPr="007C0C94">
        <w:rPr>
          <w:rFonts w:ascii="Times New Roman" w:eastAsia="Times New Roman" w:hAnsi="Times New Roman" w:cs="Times New Roman"/>
          <w:color w:val="000000"/>
          <w:sz w:val="24"/>
          <w:szCs w:val="24"/>
          <w:lang w:eastAsia="vi-VN"/>
        </w:rPr>
        <w:t> được tính theo quy định hiện hành của Bộ Luật Lao Động như sau:</w:t>
      </w:r>
      <w:r w:rsidRPr="007C0C94">
        <w:rPr>
          <w:rFonts w:ascii="Times New Roman" w:eastAsia="Times New Roman" w:hAnsi="Times New Roman" w:cs="Times New Roman"/>
          <w:sz w:val="24"/>
          <w:szCs w:val="24"/>
          <w:lang w:eastAsia="vi-VN"/>
        </w:rPr>
        <w:t xml:space="preserve"> </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4.1 Làm thêm vào ngày thường:</w:t>
      </w:r>
      <w:r w:rsidRPr="007C0C94">
        <w:rPr>
          <w:rFonts w:ascii="Times New Roman" w:eastAsia="Times New Roman" w:hAnsi="Times New Roman" w:cs="Times New Roman"/>
          <w:color w:val="000000"/>
          <w:sz w:val="24"/>
          <w:szCs w:val="24"/>
          <w:lang w:eastAsia="vi-VN"/>
        </w:rPr>
        <w:br/>
        <w:t>            Tiền lương làm thêm giờ = Tiền lương (theo giờ) * 150% * Số giờ làm thêm</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4.2 Làm thêm vào ngày chủ nhật:</w:t>
      </w:r>
      <w:r w:rsidRPr="007C0C94">
        <w:rPr>
          <w:rFonts w:ascii="Times New Roman" w:eastAsia="Times New Roman" w:hAnsi="Times New Roman" w:cs="Times New Roman"/>
          <w:color w:val="000000"/>
          <w:sz w:val="24"/>
          <w:szCs w:val="24"/>
          <w:lang w:eastAsia="vi-VN"/>
        </w:rPr>
        <w:br/>
        <w:t>            Tiền lương làm thêm giờ = Tiền lương (theo giờ) * 200% * Số giờ làm thêm</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4.3 Làm thêm vào ngày lễ, tết :</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Tiền lương làm thêm giờ = Tiền lương (theo giờ) * 300%* Số giờ làm thêm</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5. Công tác phí:</w:t>
      </w:r>
      <w:r w:rsidRPr="007C0C94">
        <w:rPr>
          <w:rFonts w:ascii="Times New Roman" w:eastAsia="Times New Roman" w:hAnsi="Times New Roman" w:cs="Times New Roman"/>
          <w:sz w:val="24"/>
          <w:szCs w:val="24"/>
          <w:lang w:eastAsia="vi-VN"/>
        </w:rPr>
        <w:t xml:space="preserve"> </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5.1</w:t>
      </w:r>
      <w:r w:rsidRPr="007C0C94">
        <w:rPr>
          <w:rFonts w:ascii="Times New Roman" w:eastAsia="Times New Roman" w:hAnsi="Times New Roman" w:cs="Times New Roman"/>
          <w:color w:val="000000"/>
          <w:sz w:val="24"/>
          <w:szCs w:val="24"/>
          <w:lang w:eastAsia="vi-VN"/>
        </w:rPr>
        <w:t xml:space="preserve"> </w:t>
      </w:r>
      <w:r w:rsidRPr="007C0C94">
        <w:rPr>
          <w:rFonts w:ascii="Times New Roman" w:eastAsia="Times New Roman" w:hAnsi="Times New Roman" w:cs="Times New Roman"/>
          <w:b/>
          <w:bCs/>
          <w:color w:val="000000"/>
          <w:sz w:val="24"/>
          <w:szCs w:val="24"/>
          <w:lang w:eastAsia="vi-VN"/>
        </w:rPr>
        <w:t>Đi, về trong ngày:</w:t>
      </w:r>
      <w:r w:rsidRPr="007C0C94">
        <w:rPr>
          <w:rFonts w:ascii="Times New Roman" w:eastAsia="Times New Roman" w:hAnsi="Times New Roman" w:cs="Times New Roman"/>
          <w:color w:val="000000"/>
          <w:sz w:val="24"/>
          <w:szCs w:val="24"/>
          <w:lang w:eastAsia="vi-VN"/>
        </w:rPr>
        <w:t xml:space="preserve"> 300.000 đ/ngày.</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5.2 Đi, về cách ngày</w:t>
      </w:r>
      <w:r w:rsidRPr="007C0C94">
        <w:rPr>
          <w:rFonts w:ascii="Times New Roman" w:eastAsia="Times New Roman" w:hAnsi="Times New Roman" w:cs="Times New Roman"/>
          <w:color w:val="000000"/>
          <w:sz w:val="24"/>
          <w:szCs w:val="24"/>
          <w:lang w:eastAsia="vi-VN"/>
        </w:rPr>
        <w:t>:</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a) Cán bộ đến công tác tại các Thành phố lớn (TP. Hải Phòng, TP. Hồ Chí Minh, TP. Đà Nẵng) và các tỉnh đồng bằng, trung du được hưởng phụ cấp 350.000đ/ngày.</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b) Cán bộ đến công tác tại vùng núi cao, hải đảo, biên giới, vùng sâu được hưởng phụ cấp 500.000đ/ngày.</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lastRenderedPageBreak/>
        <w:t>c) Ngoài tiền phụ cấp lưu trú trên người lao động sẽ được thanh toán toàn bộ chi phí đi lại, chỗ ở theo thực tế phát sinh (theo chứng từ xác nhận).</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6. Những ngày nghỉ được hưởng nguyên lương:</w:t>
      </w:r>
      <w:r w:rsidRPr="007C0C94">
        <w:rPr>
          <w:rFonts w:ascii="Times New Roman" w:eastAsia="Times New Roman" w:hAnsi="Times New Roman" w:cs="Times New Roman"/>
          <w:sz w:val="24"/>
          <w:szCs w:val="24"/>
          <w:lang w:eastAsia="vi-VN"/>
        </w:rPr>
        <w:t xml:space="preserve"> </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6.1 Nghỉ lễ, tết:</w:t>
      </w:r>
      <w:r w:rsidRPr="007C0C94">
        <w:rPr>
          <w:rFonts w:ascii="Times New Roman" w:eastAsia="Times New Roman" w:hAnsi="Times New Roman" w:cs="Times New Roman"/>
          <w:color w:val="000000"/>
          <w:sz w:val="24"/>
          <w:szCs w:val="24"/>
          <w:lang w:eastAsia="vi-VN"/>
        </w:rPr>
        <w:t xml:space="preserve"> theo đúng quy định của Bộ luật lao động</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6.2 Bản thân kết hôn:</w:t>
      </w:r>
      <w:r w:rsidRPr="007C0C94">
        <w:rPr>
          <w:rFonts w:ascii="Times New Roman" w:eastAsia="Times New Roman" w:hAnsi="Times New Roman" w:cs="Times New Roman"/>
          <w:color w:val="000000"/>
          <w:sz w:val="24"/>
          <w:szCs w:val="24"/>
          <w:lang w:eastAsia="vi-VN"/>
        </w:rPr>
        <w:t xml:space="preserve"> nghỉ  03 ngày .</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6.3 Con kết hôn:</w:t>
      </w:r>
      <w:r w:rsidRPr="007C0C94">
        <w:rPr>
          <w:rFonts w:ascii="Times New Roman" w:eastAsia="Times New Roman" w:hAnsi="Times New Roman" w:cs="Times New Roman"/>
          <w:color w:val="000000"/>
          <w:sz w:val="24"/>
          <w:szCs w:val="24"/>
          <w:lang w:eastAsia="vi-VN"/>
        </w:rPr>
        <w:t xml:space="preserve">  nghỉ  01 ngày  .</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 xml:space="preserve">6.4 Cha, mẹ chết (kể cả bên chồng ,vợ ), vợ hoặc chồng , con chết: </w:t>
      </w:r>
      <w:r w:rsidRPr="007C0C94">
        <w:rPr>
          <w:rFonts w:ascii="Times New Roman" w:eastAsia="Times New Roman" w:hAnsi="Times New Roman" w:cs="Times New Roman"/>
          <w:color w:val="000000"/>
          <w:sz w:val="24"/>
          <w:szCs w:val="24"/>
          <w:lang w:eastAsia="vi-VN"/>
        </w:rPr>
        <w:t>được  nghỉ  03 ngày .</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6.5 Nghỉ phép.</w:t>
      </w:r>
      <w:r w:rsidRPr="007C0C94">
        <w:rPr>
          <w:rFonts w:ascii="Times New Roman" w:eastAsia="Times New Roman" w:hAnsi="Times New Roman" w:cs="Times New Roman"/>
          <w:color w:val="000000"/>
          <w:sz w:val="24"/>
          <w:szCs w:val="24"/>
          <w:lang w:eastAsia="vi-VN"/>
        </w:rPr>
        <w:t xml:space="preserve"> Người lao động thôi việc có đơn xin nghỉ phép mà chưa nghỉ phép năm hoặc chưa được nghỉ hết số ngày phép năm thì sẽ được thanh toán tiền những ngày chưa nghỉ này .</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Người lao động đang trong thời gian thử việc hoặc chưa ký HĐLĐ thì chưa được hưởng các chế độ của nhà nước quy định .</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w:t>
      </w:r>
      <w:r w:rsidRPr="007C0C94">
        <w:rPr>
          <w:rFonts w:ascii="Times New Roman" w:eastAsia="Times New Roman" w:hAnsi="Times New Roman" w:cs="Times New Roman"/>
          <w:color w:val="000000"/>
          <w:sz w:val="24"/>
          <w:szCs w:val="24"/>
          <w:lang w:eastAsia="vi-VN"/>
        </w:rPr>
        <w:br/>
        <w:t> </w:t>
      </w:r>
      <w:r w:rsidRPr="007C0C94">
        <w:rPr>
          <w:rFonts w:ascii="Times New Roman" w:eastAsia="Times New Roman" w:hAnsi="Times New Roman" w:cs="Times New Roman"/>
          <w:sz w:val="24"/>
          <w:szCs w:val="24"/>
          <w:lang w:eastAsia="vi-VN"/>
        </w:rPr>
        <w:t xml:space="preserve"> </w:t>
      </w:r>
    </w:p>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w:t>
      </w:r>
      <w:r w:rsidRPr="007C0C94">
        <w:rPr>
          <w:rFonts w:ascii="Times New Roman" w:eastAsia="Times New Roman" w:hAnsi="Times New Roman" w:cs="Times New Roman"/>
          <w:b/>
          <w:bCs/>
          <w:color w:val="000000"/>
          <w:sz w:val="24"/>
          <w:szCs w:val="24"/>
          <w:lang w:eastAsia="vi-VN"/>
        </w:rPr>
        <w:t>CHƯƠNG IV</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CHẾ ĐỘ VÀ THỦ TỤC XÉT NÂNG LƯƠNG</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1. Về chế độ xét nâng lương :</w:t>
      </w:r>
      <w:r w:rsidRPr="007C0C94">
        <w:rPr>
          <w:rFonts w:ascii="Times New Roman" w:eastAsia="Times New Roman" w:hAnsi="Times New Roman" w:cs="Times New Roman"/>
          <w:color w:val="000000"/>
          <w:sz w:val="24"/>
          <w:szCs w:val="24"/>
          <w:lang w:eastAsia="vi-VN"/>
        </w:rPr>
        <w:t xml:space="preserve"> Mỗi năm, lãnh đạo Công ty xét nâng lương cho nhân viên một lần vào tháng thứ 04 của năm. </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2. Niên hạn và đối tượng được trong diện xét nâng lương</w:t>
      </w:r>
      <w:r w:rsidRPr="007C0C94">
        <w:rPr>
          <w:rFonts w:ascii="Times New Roman" w:eastAsia="Times New Roman" w:hAnsi="Times New Roman" w:cs="Times New Roman"/>
          <w:color w:val="000000"/>
          <w:sz w:val="24"/>
          <w:szCs w:val="24"/>
          <w:lang w:eastAsia="vi-VN"/>
        </w:rPr>
        <w:t>: Các nhân viên đã có đủ niên hạn hai năm hưởng ở một mức lương (kể từ ngày xếp lương lần kế với ngày xét lên lương mới) với điều kiện hoàn thành tốt nhiệm vụ được giao và không vi phạm Nội qui lao động. Nếu có vi phạm thì không được vào diện xét. Năm sau mới được xét nâng lương, với điều kiện không tái phạm kỷ luật lao động. </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3.Thủ tục xét nâng lương:</w:t>
      </w:r>
      <w:r w:rsidRPr="007C0C94">
        <w:rPr>
          <w:rFonts w:ascii="Times New Roman" w:eastAsia="Times New Roman" w:hAnsi="Times New Roman" w:cs="Times New Roman"/>
          <w:color w:val="000000"/>
          <w:sz w:val="24"/>
          <w:szCs w:val="24"/>
          <w:lang w:eastAsia="vi-VN"/>
        </w:rPr>
        <w:t xml:space="preserve">  Đến, ký xét duyệt nâng lương Ban lãnh đạo Công ty sẽ họp và công bố việc xét duyệt để xét duyệt. Đối với nhân viên chưa đuợc xét nâng lương thì Giám đốc điều hành sẽ giải thích để nhân viên yên tâm.</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4. Mức nâng của mỗi bậc lương</w:t>
      </w:r>
      <w:r w:rsidRPr="007C0C94">
        <w:rPr>
          <w:rFonts w:ascii="Times New Roman" w:eastAsia="Times New Roman" w:hAnsi="Times New Roman" w:cs="Times New Roman"/>
          <w:color w:val="000000"/>
          <w:sz w:val="24"/>
          <w:szCs w:val="24"/>
          <w:lang w:eastAsia="vi-VN"/>
        </w:rPr>
        <w:t>: từ 10% - 20% mức lương hiện tại tuỳ theo kết quả kinh doanh của công ty trong năm. Mức này sẽ dựa vào thàng bảng lương được đăng ký với cơ quan BHXH, Phòng Lao động thương binh xã hội.</w:t>
      </w:r>
      <w:r w:rsidRPr="007C0C94">
        <w:rPr>
          <w:rFonts w:ascii="Times New Roman" w:eastAsia="Times New Roman" w:hAnsi="Times New Roman" w:cs="Times New Roman"/>
          <w:color w:val="000000"/>
          <w:sz w:val="24"/>
          <w:szCs w:val="24"/>
          <w:lang w:eastAsia="vi-VN"/>
        </w:rPr>
        <w:br/>
        <w:t> </w:t>
      </w:r>
      <w:r w:rsidRPr="007C0C94">
        <w:rPr>
          <w:rFonts w:ascii="Times New Roman" w:eastAsia="Times New Roman" w:hAnsi="Times New Roman" w:cs="Times New Roman"/>
          <w:sz w:val="24"/>
          <w:szCs w:val="24"/>
          <w:lang w:eastAsia="vi-VN"/>
        </w:rPr>
        <w:t xml:space="preserve"> </w:t>
      </w:r>
    </w:p>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PHẦN V</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CHẾ ĐỘ THƯỞNG</w:t>
      </w:r>
    </w:p>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 xml:space="preserve">1. Thưởng cuối năm: </w:t>
      </w:r>
      <w:r w:rsidRPr="007C0C94">
        <w:rPr>
          <w:rFonts w:ascii="Times New Roman" w:eastAsia="Times New Roman" w:hAnsi="Times New Roman" w:cs="Times New Roman"/>
          <w:color w:val="000000"/>
          <w:sz w:val="24"/>
          <w:szCs w:val="24"/>
          <w:lang w:eastAsia="vi-VN"/>
        </w:rPr>
        <w:t> (tết âm lịch)</w:t>
      </w:r>
      <w:r w:rsidRPr="007C0C94">
        <w:rPr>
          <w:rFonts w:ascii="Times New Roman" w:eastAsia="Times New Roman" w:hAnsi="Times New Roman" w:cs="Times New Roman"/>
          <w:color w:val="000000"/>
          <w:sz w:val="24"/>
          <w:szCs w:val="24"/>
          <w:lang w:eastAsia="vi-VN"/>
        </w:rPr>
        <w:br/>
        <w:t>Hàng năm nếu Công Ty kinh doanh có lãi Công Ty sẽ trích từ lợi nhuận đễ thưởng cho người lao động mức thưởng tùy thuộc vào lợi nhuận mỗi năm.</w:t>
      </w:r>
      <w:r w:rsidRPr="007C0C94">
        <w:rPr>
          <w:rFonts w:ascii="Times New Roman" w:eastAsia="Times New Roman" w:hAnsi="Times New Roman" w:cs="Times New Roman"/>
          <w:color w:val="000000"/>
          <w:sz w:val="24"/>
          <w:szCs w:val="24"/>
          <w:lang w:eastAsia="vi-VN"/>
        </w:rPr>
        <w:br/>
        <w:t>Mức thưởng cụ thể từng NLĐ tùy thuộc vào sự đóng góp công sức, chất lượng công tác, chấp hành đầy đủ nội quy, các quy định của Công ty.</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2. Thưởng thâm niên</w:t>
      </w:r>
      <w:r w:rsidRPr="007C0C94">
        <w:rPr>
          <w:rFonts w:ascii="Times New Roman" w:eastAsia="Times New Roman" w:hAnsi="Times New Roman" w:cs="Times New Roman"/>
          <w:color w:val="000000"/>
          <w:sz w:val="24"/>
          <w:szCs w:val="24"/>
          <w:lang w:eastAsia="vi-VN"/>
        </w:rPr>
        <w:t>:</w:t>
      </w:r>
      <w:r w:rsidRPr="007C0C94">
        <w:rPr>
          <w:rFonts w:ascii="Times New Roman" w:eastAsia="Times New Roman" w:hAnsi="Times New Roman" w:cs="Times New Roman"/>
          <w:color w:val="000000"/>
          <w:sz w:val="24"/>
          <w:szCs w:val="24"/>
          <w:lang w:eastAsia="vi-VN"/>
        </w:rPr>
        <w:br/>
        <w:t>Nhân viên gắn bó với công ty tối thiểu từ 3 năm trở lên sẽ có các mức thưởng được công bố vào đợt chi trả lương tháng cuối cùng của năm.</w:t>
      </w:r>
      <w:r w:rsidRPr="007C0C94">
        <w:rPr>
          <w:rFonts w:ascii="Times New Roman" w:eastAsia="Times New Roman" w:hAnsi="Times New Roman" w:cs="Times New Roman"/>
          <w:color w:val="000000"/>
          <w:sz w:val="24"/>
          <w:szCs w:val="24"/>
          <w:lang w:eastAsia="vi-VN"/>
        </w:rPr>
        <w:br/>
        <w:t> Nhân viên kinh doanh đạt doanh thu do Ban Giám đốc giao được thuởng phần trăm doanh thu hàng tháng, trường hợp vượt doanh thu thì Giám đốc Kinh doanh làm tờ trình về việc đạt doanh thu, mức được hưởng cho từng nhân viên trình Ban Giám đốc duyệt và chuyển cho Phòng Kế toán trả cùng với lương tháng.</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3. Thưởng lễ 30/4 &amp; 1/5, Ngày quốc khách, Tết Dương lịch:</w:t>
      </w:r>
      <w:r w:rsidRPr="007C0C94">
        <w:rPr>
          <w:rFonts w:ascii="Times New Roman" w:eastAsia="Times New Roman" w:hAnsi="Times New Roman" w:cs="Times New Roman"/>
          <w:color w:val="000000"/>
          <w:sz w:val="24"/>
          <w:szCs w:val="24"/>
          <w:lang w:eastAsia="vi-VN"/>
        </w:rPr>
        <w:br/>
        <w:t>- Số tiền thưởng từ 200.000 đồng đến 500.000 đồng tuỳ thuộc vào khả năng hoàn công việc, mức độ chấp hành nội quy lao động tại công ty cũng như những đóng góp của từng cá nhân.</w:t>
      </w:r>
      <w:r w:rsidRPr="007C0C94">
        <w:rPr>
          <w:rFonts w:ascii="Times New Roman" w:eastAsia="Times New Roman" w:hAnsi="Times New Roman" w:cs="Times New Roman"/>
          <w:color w:val="000000"/>
          <w:sz w:val="24"/>
          <w:szCs w:val="24"/>
          <w:lang w:eastAsia="vi-VN"/>
        </w:rPr>
        <w:br/>
        <w:t>- Mức thưởng cụ thể của từng nhân viên sẽ được ghi trong quyết định của hội đồng thành tại thời điểm thưởng.</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lastRenderedPageBreak/>
        <w:t>4. Thưởng đạt doanh thu:</w:t>
      </w:r>
      <w:r w:rsidRPr="007C0C94">
        <w:rPr>
          <w:rFonts w:ascii="Times New Roman" w:eastAsia="Times New Roman" w:hAnsi="Times New Roman" w:cs="Times New Roman"/>
          <w:color w:val="000000"/>
          <w:sz w:val="24"/>
          <w:szCs w:val="24"/>
          <w:lang w:eastAsia="vi-VN"/>
        </w:rPr>
        <w:br/>
        <w:t>Cuối năm dương lịch, Phòng Kinh doanh đạt doanh thu do BGĐ giao được thuởng phần trăm doanh thu hàng tháng, trường hợp vượt doanh thu thì Phòng Kinh doanh làm tờ trình về việc đạt doanh thu, mức được hưởng cho từng CNV trình BGĐ duyệt căn cứ vào doanh thu và lợi nhuận thực tế của công ty</w:t>
      </w:r>
      <w:r w:rsidRPr="007C0C94">
        <w:rPr>
          <w:rFonts w:ascii="Times New Roman" w:eastAsia="Times New Roman" w:hAnsi="Times New Roman" w:cs="Times New Roman"/>
          <w:color w:val="000000"/>
          <w:sz w:val="24"/>
          <w:szCs w:val="24"/>
          <w:lang w:eastAsia="vi-VN"/>
        </w:rPr>
        <w:br/>
        <w:t> </w:t>
      </w:r>
      <w:r w:rsidRPr="007C0C94">
        <w:rPr>
          <w:rFonts w:ascii="Times New Roman" w:eastAsia="Times New Roman" w:hAnsi="Times New Roman" w:cs="Times New Roman"/>
          <w:color w:val="000000"/>
          <w:sz w:val="24"/>
          <w:szCs w:val="24"/>
          <w:lang w:eastAsia="vi-VN"/>
        </w:rPr>
        <w:br/>
        <w:t>Trên đây là nội dung bản qui định về trả tiền lương, tiền thưởng, tiền phụ – trợ cấp được áp dụng đối với toàn thể Cán bộ CNV Công ty, có hiệu lực thi hành kể từ ngày ban hành. Giao cho Trưởng phòng HCNS và Kế toán trưởng Công ty, triển khai thực hiện.</w:t>
      </w:r>
      <w:r w:rsidRPr="007C0C94">
        <w:rPr>
          <w:rFonts w:ascii="Times New Roman" w:eastAsia="Times New Roman" w:hAnsi="Times New Roman" w:cs="Times New Roman"/>
          <w:color w:val="000000"/>
          <w:sz w:val="24"/>
          <w:szCs w:val="24"/>
          <w:lang w:eastAsia="vi-VN"/>
        </w:rPr>
        <w:br/>
        <w:t> </w:t>
      </w:r>
    </w:p>
    <w:tbl>
      <w:tblPr>
        <w:tblW w:w="9735" w:type="dxa"/>
        <w:tblCellSpacing w:w="0" w:type="dxa"/>
        <w:tblCellMar>
          <w:left w:w="0" w:type="dxa"/>
          <w:right w:w="0" w:type="dxa"/>
        </w:tblCellMar>
        <w:tblLook w:val="04A0" w:firstRow="1" w:lastRow="0" w:firstColumn="1" w:lastColumn="0" w:noHBand="0" w:noVBand="1"/>
      </w:tblPr>
      <w:tblGrid>
        <w:gridCol w:w="4920"/>
        <w:gridCol w:w="4815"/>
      </w:tblGrid>
      <w:tr w:rsidR="007C0C94" w:rsidRPr="007C0C94" w:rsidTr="007C0C94">
        <w:trPr>
          <w:trHeight w:val="315"/>
          <w:tblCellSpacing w:w="0" w:type="dxa"/>
        </w:trPr>
        <w:tc>
          <w:tcPr>
            <w:tcW w:w="4920" w:type="dxa"/>
            <w:vAlign w:val="center"/>
            <w:hideMark/>
          </w:tcPr>
          <w:p w:rsidR="007C0C94" w:rsidRPr="007C0C94" w:rsidRDefault="007C0C94" w:rsidP="007C0C94">
            <w:pPr>
              <w:spacing w:after="0" w:line="240" w:lineRule="auto"/>
              <w:rPr>
                <w:rFonts w:ascii="Times New Roman" w:eastAsia="Times New Roman" w:hAnsi="Times New Roman" w:cs="Times New Roman"/>
                <w:sz w:val="24"/>
                <w:szCs w:val="24"/>
                <w:lang w:eastAsia="vi-VN"/>
              </w:rPr>
            </w:pPr>
            <w:r w:rsidRPr="007C0C94">
              <w:rPr>
                <w:rFonts w:ascii="Times New Roman" w:eastAsia="Times New Roman" w:hAnsi="Times New Roman" w:cs="Times New Roman"/>
                <w:color w:val="000000"/>
                <w:sz w:val="24"/>
                <w:szCs w:val="24"/>
                <w:lang w:eastAsia="vi-VN"/>
              </w:rPr>
              <w:t> </w:t>
            </w:r>
          </w:p>
        </w:tc>
        <w:tc>
          <w:tcPr>
            <w:tcW w:w="4815" w:type="dxa"/>
            <w:vAlign w:val="center"/>
            <w:hideMark/>
          </w:tcPr>
          <w:p w:rsidR="007C0C94" w:rsidRPr="007C0C94" w:rsidRDefault="007C0C94" w:rsidP="007C0C94">
            <w:pPr>
              <w:spacing w:after="0" w:line="240" w:lineRule="auto"/>
              <w:jc w:val="center"/>
              <w:rPr>
                <w:rFonts w:ascii="Times New Roman" w:eastAsia="Times New Roman" w:hAnsi="Times New Roman" w:cs="Times New Roman"/>
                <w:sz w:val="24"/>
                <w:szCs w:val="24"/>
                <w:lang w:eastAsia="vi-VN"/>
              </w:rPr>
            </w:pPr>
            <w:r w:rsidRPr="007C0C94">
              <w:rPr>
                <w:rFonts w:ascii="Times New Roman" w:eastAsia="Times New Roman" w:hAnsi="Times New Roman" w:cs="Times New Roman"/>
                <w:b/>
                <w:bCs/>
                <w:color w:val="000000"/>
                <w:sz w:val="24"/>
                <w:szCs w:val="24"/>
                <w:lang w:eastAsia="vi-VN"/>
              </w:rPr>
              <w:t>TM.Ban Giám đốc</w:t>
            </w:r>
            <w:r w:rsidRPr="007C0C94">
              <w:rPr>
                <w:rFonts w:ascii="Times New Roman" w:eastAsia="Times New Roman" w:hAnsi="Times New Roman" w:cs="Times New Roman"/>
                <w:color w:val="000000"/>
                <w:sz w:val="24"/>
                <w:szCs w:val="24"/>
                <w:lang w:eastAsia="vi-VN"/>
              </w:rPr>
              <w:br/>
            </w:r>
            <w:r w:rsidRPr="007C0C94">
              <w:rPr>
                <w:rFonts w:ascii="Times New Roman" w:eastAsia="Times New Roman" w:hAnsi="Times New Roman" w:cs="Times New Roman"/>
                <w:b/>
                <w:bCs/>
                <w:color w:val="000000"/>
                <w:sz w:val="24"/>
                <w:szCs w:val="24"/>
                <w:lang w:eastAsia="vi-VN"/>
              </w:rPr>
              <w:t>Giám Đốc</w:t>
            </w:r>
          </w:p>
        </w:tc>
      </w:tr>
    </w:tbl>
    <w:p w:rsidR="007C0C94" w:rsidRPr="007C0C94" w:rsidRDefault="007C0C94"/>
    <w:sectPr w:rsidR="007C0C94" w:rsidRPr="007C0C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Times">
    <w:panose1 w:val="02020603050405020304"/>
    <w:charset w:val="A3"/>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83"/>
    <w:rsid w:val="004E5316"/>
    <w:rsid w:val="007C0C94"/>
    <w:rsid w:val="00FF5F8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7C0C94"/>
    <w:pPr>
      <w:spacing w:before="100" w:beforeAutospacing="1" w:after="100" w:afterAutospacing="1" w:line="240" w:lineRule="auto"/>
      <w:outlineLvl w:val="2"/>
    </w:pPr>
    <w:rPr>
      <w:rFonts w:ascii="Times New Roman" w:eastAsia="Times New Roman" w:hAnsi="Times New Roman" w:cs="Times New Roman"/>
      <w:b/>
      <w:bCs/>
      <w:sz w:val="27"/>
      <w:szCs w:val="27"/>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C0C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0C94"/>
    <w:rPr>
      <w:rFonts w:ascii="Tahoma" w:hAnsi="Tahoma" w:cs="Tahoma"/>
      <w:sz w:val="16"/>
      <w:szCs w:val="16"/>
    </w:rPr>
  </w:style>
  <w:style w:type="character" w:customStyle="1" w:styleId="Heading3Char">
    <w:name w:val="Heading 3 Char"/>
    <w:basedOn w:val="DefaultParagraphFont"/>
    <w:link w:val="Heading3"/>
    <w:uiPriority w:val="9"/>
    <w:rsid w:val="007C0C94"/>
    <w:rPr>
      <w:rFonts w:ascii="Times New Roman" w:eastAsia="Times New Roman" w:hAnsi="Times New Roman" w:cs="Times New Roman"/>
      <w:b/>
      <w:bCs/>
      <w:sz w:val="27"/>
      <w:szCs w:val="27"/>
      <w:lang w:eastAsia="vi-VN"/>
    </w:rPr>
  </w:style>
  <w:style w:type="character" w:styleId="Strong">
    <w:name w:val="Strong"/>
    <w:basedOn w:val="DefaultParagraphFont"/>
    <w:uiPriority w:val="22"/>
    <w:qFormat/>
    <w:rsid w:val="007C0C9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7C0C94"/>
    <w:pPr>
      <w:spacing w:before="100" w:beforeAutospacing="1" w:after="100" w:afterAutospacing="1" w:line="240" w:lineRule="auto"/>
      <w:outlineLvl w:val="2"/>
    </w:pPr>
    <w:rPr>
      <w:rFonts w:ascii="Times New Roman" w:eastAsia="Times New Roman" w:hAnsi="Times New Roman" w:cs="Times New Roman"/>
      <w:b/>
      <w:bCs/>
      <w:sz w:val="27"/>
      <w:szCs w:val="27"/>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C0C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0C94"/>
    <w:rPr>
      <w:rFonts w:ascii="Tahoma" w:hAnsi="Tahoma" w:cs="Tahoma"/>
      <w:sz w:val="16"/>
      <w:szCs w:val="16"/>
    </w:rPr>
  </w:style>
  <w:style w:type="character" w:customStyle="1" w:styleId="Heading3Char">
    <w:name w:val="Heading 3 Char"/>
    <w:basedOn w:val="DefaultParagraphFont"/>
    <w:link w:val="Heading3"/>
    <w:uiPriority w:val="9"/>
    <w:rsid w:val="007C0C94"/>
    <w:rPr>
      <w:rFonts w:ascii="Times New Roman" w:eastAsia="Times New Roman" w:hAnsi="Times New Roman" w:cs="Times New Roman"/>
      <w:b/>
      <w:bCs/>
      <w:sz w:val="27"/>
      <w:szCs w:val="27"/>
      <w:lang w:eastAsia="vi-VN"/>
    </w:rPr>
  </w:style>
  <w:style w:type="character" w:styleId="Strong">
    <w:name w:val="Strong"/>
    <w:basedOn w:val="DefaultParagraphFont"/>
    <w:uiPriority w:val="22"/>
    <w:qFormat/>
    <w:rsid w:val="007C0C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220116">
      <w:bodyDiv w:val="1"/>
      <w:marLeft w:val="0"/>
      <w:marRight w:val="0"/>
      <w:marTop w:val="0"/>
      <w:marBottom w:val="0"/>
      <w:divBdr>
        <w:top w:val="none" w:sz="0" w:space="0" w:color="auto"/>
        <w:left w:val="none" w:sz="0" w:space="0" w:color="auto"/>
        <w:bottom w:val="none" w:sz="0" w:space="0" w:color="auto"/>
        <w:right w:val="none" w:sz="0" w:space="0" w:color="auto"/>
      </w:divBdr>
      <w:divsChild>
        <w:div w:id="416445462">
          <w:marLeft w:val="600"/>
          <w:marRight w:val="0"/>
          <w:marTop w:val="0"/>
          <w:marBottom w:val="0"/>
          <w:divBdr>
            <w:top w:val="none" w:sz="0" w:space="0" w:color="auto"/>
            <w:left w:val="none" w:sz="0" w:space="0" w:color="auto"/>
            <w:bottom w:val="none" w:sz="0" w:space="0" w:color="auto"/>
            <w:right w:val="none" w:sz="0" w:space="0" w:color="auto"/>
          </w:divBdr>
        </w:div>
        <w:div w:id="189875920">
          <w:marLeft w:val="600"/>
          <w:marRight w:val="0"/>
          <w:marTop w:val="0"/>
          <w:marBottom w:val="0"/>
          <w:divBdr>
            <w:top w:val="none" w:sz="0" w:space="0" w:color="auto"/>
            <w:left w:val="none" w:sz="0" w:space="0" w:color="auto"/>
            <w:bottom w:val="none" w:sz="0" w:space="0" w:color="auto"/>
            <w:right w:val="none" w:sz="0" w:space="0" w:color="auto"/>
          </w:divBdr>
        </w:div>
        <w:div w:id="1203664637">
          <w:marLeft w:val="600"/>
          <w:marRight w:val="0"/>
          <w:marTop w:val="0"/>
          <w:marBottom w:val="0"/>
          <w:divBdr>
            <w:top w:val="none" w:sz="0" w:space="0" w:color="auto"/>
            <w:left w:val="none" w:sz="0" w:space="0" w:color="auto"/>
            <w:bottom w:val="none" w:sz="0" w:space="0" w:color="auto"/>
            <w:right w:val="none" w:sz="0" w:space="0" w:color="auto"/>
          </w:divBdr>
        </w:div>
        <w:div w:id="1636368824">
          <w:marLeft w:val="0"/>
          <w:marRight w:val="0"/>
          <w:marTop w:val="0"/>
          <w:marBottom w:val="0"/>
          <w:divBdr>
            <w:top w:val="none" w:sz="0" w:space="0" w:color="auto"/>
            <w:left w:val="none" w:sz="0" w:space="0" w:color="auto"/>
            <w:bottom w:val="none" w:sz="0" w:space="0" w:color="auto"/>
            <w:right w:val="none" w:sz="0" w:space="0" w:color="auto"/>
          </w:divBdr>
        </w:div>
        <w:div w:id="1976913735">
          <w:marLeft w:val="600"/>
          <w:marRight w:val="0"/>
          <w:marTop w:val="0"/>
          <w:marBottom w:val="0"/>
          <w:divBdr>
            <w:top w:val="none" w:sz="0" w:space="0" w:color="auto"/>
            <w:left w:val="none" w:sz="0" w:space="0" w:color="auto"/>
            <w:bottom w:val="none" w:sz="0" w:space="0" w:color="auto"/>
            <w:right w:val="none" w:sz="0" w:space="0" w:color="auto"/>
          </w:divBdr>
        </w:div>
        <w:div w:id="1956329114">
          <w:marLeft w:val="600"/>
          <w:marRight w:val="0"/>
          <w:marTop w:val="0"/>
          <w:marBottom w:val="0"/>
          <w:divBdr>
            <w:top w:val="none" w:sz="0" w:space="0" w:color="auto"/>
            <w:left w:val="none" w:sz="0" w:space="0" w:color="auto"/>
            <w:bottom w:val="none" w:sz="0" w:space="0" w:color="auto"/>
            <w:right w:val="none" w:sz="0" w:space="0" w:color="auto"/>
          </w:divBdr>
        </w:div>
        <w:div w:id="1342471179">
          <w:marLeft w:val="600"/>
          <w:marRight w:val="0"/>
          <w:marTop w:val="0"/>
          <w:marBottom w:val="0"/>
          <w:divBdr>
            <w:top w:val="none" w:sz="0" w:space="0" w:color="auto"/>
            <w:left w:val="none" w:sz="0" w:space="0" w:color="auto"/>
            <w:bottom w:val="none" w:sz="0" w:space="0" w:color="auto"/>
            <w:right w:val="none" w:sz="0" w:space="0" w:color="auto"/>
          </w:divBdr>
        </w:div>
        <w:div w:id="1884441712">
          <w:marLeft w:val="600"/>
          <w:marRight w:val="0"/>
          <w:marTop w:val="0"/>
          <w:marBottom w:val="0"/>
          <w:divBdr>
            <w:top w:val="none" w:sz="0" w:space="0" w:color="auto"/>
            <w:left w:val="none" w:sz="0" w:space="0" w:color="auto"/>
            <w:bottom w:val="none" w:sz="0" w:space="0" w:color="auto"/>
            <w:right w:val="none" w:sz="0" w:space="0" w:color="auto"/>
          </w:divBdr>
        </w:div>
        <w:div w:id="75443349">
          <w:marLeft w:val="600"/>
          <w:marRight w:val="0"/>
          <w:marTop w:val="0"/>
          <w:marBottom w:val="0"/>
          <w:divBdr>
            <w:top w:val="none" w:sz="0" w:space="0" w:color="auto"/>
            <w:left w:val="none" w:sz="0" w:space="0" w:color="auto"/>
            <w:bottom w:val="none" w:sz="0" w:space="0" w:color="auto"/>
            <w:right w:val="none" w:sz="0" w:space="0" w:color="auto"/>
          </w:divBdr>
        </w:div>
        <w:div w:id="1886945066">
          <w:marLeft w:val="0"/>
          <w:marRight w:val="0"/>
          <w:marTop w:val="0"/>
          <w:marBottom w:val="0"/>
          <w:divBdr>
            <w:top w:val="none" w:sz="0" w:space="0" w:color="auto"/>
            <w:left w:val="none" w:sz="0" w:space="0" w:color="auto"/>
            <w:bottom w:val="none" w:sz="0" w:space="0" w:color="auto"/>
            <w:right w:val="none" w:sz="0" w:space="0" w:color="auto"/>
          </w:divBdr>
        </w:div>
        <w:div w:id="524514519">
          <w:marLeft w:val="600"/>
          <w:marRight w:val="0"/>
          <w:marTop w:val="0"/>
          <w:marBottom w:val="0"/>
          <w:divBdr>
            <w:top w:val="none" w:sz="0" w:space="0" w:color="auto"/>
            <w:left w:val="none" w:sz="0" w:space="0" w:color="auto"/>
            <w:bottom w:val="none" w:sz="0" w:space="0" w:color="auto"/>
            <w:right w:val="none" w:sz="0" w:space="0" w:color="auto"/>
          </w:divBdr>
        </w:div>
        <w:div w:id="1972902491">
          <w:marLeft w:val="600"/>
          <w:marRight w:val="0"/>
          <w:marTop w:val="0"/>
          <w:marBottom w:val="0"/>
          <w:divBdr>
            <w:top w:val="none" w:sz="0" w:space="0" w:color="auto"/>
            <w:left w:val="none" w:sz="0" w:space="0" w:color="auto"/>
            <w:bottom w:val="none" w:sz="0" w:space="0" w:color="auto"/>
            <w:right w:val="none" w:sz="0" w:space="0" w:color="auto"/>
          </w:divBdr>
        </w:div>
        <w:div w:id="587160160">
          <w:marLeft w:val="600"/>
          <w:marRight w:val="0"/>
          <w:marTop w:val="0"/>
          <w:marBottom w:val="0"/>
          <w:divBdr>
            <w:top w:val="none" w:sz="0" w:space="0" w:color="auto"/>
            <w:left w:val="none" w:sz="0" w:space="0" w:color="auto"/>
            <w:bottom w:val="none" w:sz="0" w:space="0" w:color="auto"/>
            <w:right w:val="none" w:sz="0" w:space="0" w:color="auto"/>
          </w:divBdr>
        </w:div>
        <w:div w:id="918951972">
          <w:marLeft w:val="600"/>
          <w:marRight w:val="0"/>
          <w:marTop w:val="0"/>
          <w:marBottom w:val="0"/>
          <w:divBdr>
            <w:top w:val="none" w:sz="0" w:space="0" w:color="auto"/>
            <w:left w:val="none" w:sz="0" w:space="0" w:color="auto"/>
            <w:bottom w:val="none" w:sz="0" w:space="0" w:color="auto"/>
            <w:right w:val="none" w:sz="0" w:space="0" w:color="auto"/>
          </w:divBdr>
        </w:div>
        <w:div w:id="871697278">
          <w:marLeft w:val="600"/>
          <w:marRight w:val="0"/>
          <w:marTop w:val="0"/>
          <w:marBottom w:val="0"/>
          <w:divBdr>
            <w:top w:val="none" w:sz="0" w:space="0" w:color="auto"/>
            <w:left w:val="none" w:sz="0" w:space="0" w:color="auto"/>
            <w:bottom w:val="none" w:sz="0" w:space="0" w:color="auto"/>
            <w:right w:val="none" w:sz="0" w:space="0" w:color="auto"/>
          </w:divBdr>
        </w:div>
        <w:div w:id="1396469041">
          <w:marLeft w:val="600"/>
          <w:marRight w:val="0"/>
          <w:marTop w:val="0"/>
          <w:marBottom w:val="0"/>
          <w:divBdr>
            <w:top w:val="none" w:sz="0" w:space="0" w:color="auto"/>
            <w:left w:val="none" w:sz="0" w:space="0" w:color="auto"/>
            <w:bottom w:val="none" w:sz="0" w:space="0" w:color="auto"/>
            <w:right w:val="none" w:sz="0" w:space="0" w:color="auto"/>
          </w:divBdr>
        </w:div>
        <w:div w:id="179393560">
          <w:marLeft w:val="600"/>
          <w:marRight w:val="0"/>
          <w:marTop w:val="0"/>
          <w:marBottom w:val="0"/>
          <w:divBdr>
            <w:top w:val="none" w:sz="0" w:space="0" w:color="auto"/>
            <w:left w:val="none" w:sz="0" w:space="0" w:color="auto"/>
            <w:bottom w:val="none" w:sz="0" w:space="0" w:color="auto"/>
            <w:right w:val="none" w:sz="0" w:space="0" w:color="auto"/>
          </w:divBdr>
        </w:div>
        <w:div w:id="762191490">
          <w:marLeft w:val="600"/>
          <w:marRight w:val="0"/>
          <w:marTop w:val="0"/>
          <w:marBottom w:val="0"/>
          <w:divBdr>
            <w:top w:val="none" w:sz="0" w:space="0" w:color="auto"/>
            <w:left w:val="none" w:sz="0" w:space="0" w:color="auto"/>
            <w:bottom w:val="none" w:sz="0" w:space="0" w:color="auto"/>
            <w:right w:val="none" w:sz="0" w:space="0" w:color="auto"/>
          </w:divBdr>
        </w:div>
        <w:div w:id="1883395915">
          <w:marLeft w:val="0"/>
          <w:marRight w:val="0"/>
          <w:marTop w:val="0"/>
          <w:marBottom w:val="0"/>
          <w:divBdr>
            <w:top w:val="none" w:sz="0" w:space="0" w:color="auto"/>
            <w:left w:val="none" w:sz="0" w:space="0" w:color="auto"/>
            <w:bottom w:val="none" w:sz="0" w:space="0" w:color="auto"/>
            <w:right w:val="none" w:sz="0" w:space="0" w:color="auto"/>
          </w:divBdr>
        </w:div>
        <w:div w:id="1758016263">
          <w:marLeft w:val="0"/>
          <w:marRight w:val="0"/>
          <w:marTop w:val="0"/>
          <w:marBottom w:val="0"/>
          <w:divBdr>
            <w:top w:val="none" w:sz="0" w:space="0" w:color="auto"/>
            <w:left w:val="none" w:sz="0" w:space="0" w:color="auto"/>
            <w:bottom w:val="none" w:sz="0" w:space="0" w:color="auto"/>
            <w:right w:val="none" w:sz="0" w:space="0" w:color="auto"/>
          </w:divBdr>
        </w:div>
        <w:div w:id="983509246">
          <w:marLeft w:val="0"/>
          <w:marRight w:val="0"/>
          <w:marTop w:val="0"/>
          <w:marBottom w:val="0"/>
          <w:divBdr>
            <w:top w:val="none" w:sz="0" w:space="0" w:color="auto"/>
            <w:left w:val="none" w:sz="0" w:space="0" w:color="auto"/>
            <w:bottom w:val="none" w:sz="0" w:space="0" w:color="auto"/>
            <w:right w:val="none" w:sz="0" w:space="0" w:color="auto"/>
          </w:divBdr>
        </w:div>
        <w:div w:id="517158312">
          <w:marLeft w:val="600"/>
          <w:marRight w:val="0"/>
          <w:marTop w:val="0"/>
          <w:marBottom w:val="0"/>
          <w:divBdr>
            <w:top w:val="none" w:sz="0" w:space="0" w:color="auto"/>
            <w:left w:val="none" w:sz="0" w:space="0" w:color="auto"/>
            <w:bottom w:val="none" w:sz="0" w:space="0" w:color="auto"/>
            <w:right w:val="none" w:sz="0" w:space="0" w:color="auto"/>
          </w:divBdr>
        </w:div>
        <w:div w:id="408885115">
          <w:marLeft w:val="600"/>
          <w:marRight w:val="0"/>
          <w:marTop w:val="0"/>
          <w:marBottom w:val="0"/>
          <w:divBdr>
            <w:top w:val="none" w:sz="0" w:space="0" w:color="auto"/>
            <w:left w:val="none" w:sz="0" w:space="0" w:color="auto"/>
            <w:bottom w:val="none" w:sz="0" w:space="0" w:color="auto"/>
            <w:right w:val="none" w:sz="0" w:space="0" w:color="auto"/>
          </w:divBdr>
        </w:div>
        <w:div w:id="1182210072">
          <w:marLeft w:val="600"/>
          <w:marRight w:val="0"/>
          <w:marTop w:val="0"/>
          <w:marBottom w:val="0"/>
          <w:divBdr>
            <w:top w:val="none" w:sz="0" w:space="0" w:color="auto"/>
            <w:left w:val="none" w:sz="0" w:space="0" w:color="auto"/>
            <w:bottom w:val="none" w:sz="0" w:space="0" w:color="auto"/>
            <w:right w:val="none" w:sz="0" w:space="0" w:color="auto"/>
          </w:divBdr>
        </w:div>
        <w:div w:id="1807703265">
          <w:marLeft w:val="600"/>
          <w:marRight w:val="0"/>
          <w:marTop w:val="0"/>
          <w:marBottom w:val="0"/>
          <w:divBdr>
            <w:top w:val="none" w:sz="0" w:space="0" w:color="auto"/>
            <w:left w:val="none" w:sz="0" w:space="0" w:color="auto"/>
            <w:bottom w:val="none" w:sz="0" w:space="0" w:color="auto"/>
            <w:right w:val="none" w:sz="0" w:space="0" w:color="auto"/>
          </w:divBdr>
        </w:div>
        <w:div w:id="1011299027">
          <w:marLeft w:val="600"/>
          <w:marRight w:val="0"/>
          <w:marTop w:val="0"/>
          <w:marBottom w:val="0"/>
          <w:divBdr>
            <w:top w:val="none" w:sz="0" w:space="0" w:color="auto"/>
            <w:left w:val="none" w:sz="0" w:space="0" w:color="auto"/>
            <w:bottom w:val="none" w:sz="0" w:space="0" w:color="auto"/>
            <w:right w:val="none" w:sz="0" w:space="0" w:color="auto"/>
          </w:divBdr>
        </w:div>
        <w:div w:id="1755778632">
          <w:marLeft w:val="600"/>
          <w:marRight w:val="0"/>
          <w:marTop w:val="0"/>
          <w:marBottom w:val="0"/>
          <w:divBdr>
            <w:top w:val="none" w:sz="0" w:space="0" w:color="auto"/>
            <w:left w:val="none" w:sz="0" w:space="0" w:color="auto"/>
            <w:bottom w:val="none" w:sz="0" w:space="0" w:color="auto"/>
            <w:right w:val="none" w:sz="0" w:space="0" w:color="auto"/>
          </w:divBdr>
        </w:div>
        <w:div w:id="1669210966">
          <w:marLeft w:val="600"/>
          <w:marRight w:val="0"/>
          <w:marTop w:val="0"/>
          <w:marBottom w:val="0"/>
          <w:divBdr>
            <w:top w:val="none" w:sz="0" w:space="0" w:color="auto"/>
            <w:left w:val="none" w:sz="0" w:space="0" w:color="auto"/>
            <w:bottom w:val="none" w:sz="0" w:space="0" w:color="auto"/>
            <w:right w:val="none" w:sz="0" w:space="0" w:color="auto"/>
          </w:divBdr>
        </w:div>
        <w:div w:id="889461424">
          <w:marLeft w:val="600"/>
          <w:marRight w:val="0"/>
          <w:marTop w:val="0"/>
          <w:marBottom w:val="0"/>
          <w:divBdr>
            <w:top w:val="none" w:sz="0" w:space="0" w:color="auto"/>
            <w:left w:val="none" w:sz="0" w:space="0" w:color="auto"/>
            <w:bottom w:val="none" w:sz="0" w:space="0" w:color="auto"/>
            <w:right w:val="none" w:sz="0" w:space="0" w:color="auto"/>
          </w:divBdr>
        </w:div>
        <w:div w:id="1336542096">
          <w:marLeft w:val="600"/>
          <w:marRight w:val="0"/>
          <w:marTop w:val="0"/>
          <w:marBottom w:val="0"/>
          <w:divBdr>
            <w:top w:val="none" w:sz="0" w:space="0" w:color="auto"/>
            <w:left w:val="none" w:sz="0" w:space="0" w:color="auto"/>
            <w:bottom w:val="none" w:sz="0" w:space="0" w:color="auto"/>
            <w:right w:val="none" w:sz="0" w:space="0" w:color="auto"/>
          </w:divBdr>
        </w:div>
        <w:div w:id="840242400">
          <w:marLeft w:val="600"/>
          <w:marRight w:val="0"/>
          <w:marTop w:val="0"/>
          <w:marBottom w:val="0"/>
          <w:divBdr>
            <w:top w:val="none" w:sz="0" w:space="0" w:color="auto"/>
            <w:left w:val="none" w:sz="0" w:space="0" w:color="auto"/>
            <w:bottom w:val="none" w:sz="0" w:space="0" w:color="auto"/>
            <w:right w:val="none" w:sz="0" w:space="0" w:color="auto"/>
          </w:divBdr>
        </w:div>
        <w:div w:id="1456369431">
          <w:marLeft w:val="600"/>
          <w:marRight w:val="0"/>
          <w:marTop w:val="0"/>
          <w:marBottom w:val="0"/>
          <w:divBdr>
            <w:top w:val="none" w:sz="0" w:space="0" w:color="auto"/>
            <w:left w:val="none" w:sz="0" w:space="0" w:color="auto"/>
            <w:bottom w:val="none" w:sz="0" w:space="0" w:color="auto"/>
            <w:right w:val="none" w:sz="0" w:space="0" w:color="auto"/>
          </w:divBdr>
        </w:div>
        <w:div w:id="1573932174">
          <w:marLeft w:val="600"/>
          <w:marRight w:val="0"/>
          <w:marTop w:val="0"/>
          <w:marBottom w:val="0"/>
          <w:divBdr>
            <w:top w:val="none" w:sz="0" w:space="0" w:color="auto"/>
            <w:left w:val="none" w:sz="0" w:space="0" w:color="auto"/>
            <w:bottom w:val="none" w:sz="0" w:space="0" w:color="auto"/>
            <w:right w:val="none" w:sz="0" w:space="0" w:color="auto"/>
          </w:divBdr>
        </w:div>
        <w:div w:id="1920091878">
          <w:marLeft w:val="600"/>
          <w:marRight w:val="0"/>
          <w:marTop w:val="0"/>
          <w:marBottom w:val="0"/>
          <w:divBdr>
            <w:top w:val="none" w:sz="0" w:space="0" w:color="auto"/>
            <w:left w:val="none" w:sz="0" w:space="0" w:color="auto"/>
            <w:bottom w:val="none" w:sz="0" w:space="0" w:color="auto"/>
            <w:right w:val="none" w:sz="0" w:space="0" w:color="auto"/>
          </w:divBdr>
        </w:div>
        <w:div w:id="216168011">
          <w:marLeft w:val="600"/>
          <w:marRight w:val="0"/>
          <w:marTop w:val="0"/>
          <w:marBottom w:val="0"/>
          <w:divBdr>
            <w:top w:val="none" w:sz="0" w:space="0" w:color="auto"/>
            <w:left w:val="none" w:sz="0" w:space="0" w:color="auto"/>
            <w:bottom w:val="none" w:sz="0" w:space="0" w:color="auto"/>
            <w:right w:val="none" w:sz="0" w:space="0" w:color="auto"/>
          </w:divBdr>
        </w:div>
        <w:div w:id="1437673469">
          <w:marLeft w:val="600"/>
          <w:marRight w:val="0"/>
          <w:marTop w:val="0"/>
          <w:marBottom w:val="0"/>
          <w:divBdr>
            <w:top w:val="none" w:sz="0" w:space="0" w:color="auto"/>
            <w:left w:val="none" w:sz="0" w:space="0" w:color="auto"/>
            <w:bottom w:val="none" w:sz="0" w:space="0" w:color="auto"/>
            <w:right w:val="none" w:sz="0" w:space="0" w:color="auto"/>
          </w:divBdr>
        </w:div>
        <w:div w:id="383483608">
          <w:marLeft w:val="600"/>
          <w:marRight w:val="0"/>
          <w:marTop w:val="0"/>
          <w:marBottom w:val="0"/>
          <w:divBdr>
            <w:top w:val="none" w:sz="0" w:space="0" w:color="auto"/>
            <w:left w:val="none" w:sz="0" w:space="0" w:color="auto"/>
            <w:bottom w:val="none" w:sz="0" w:space="0" w:color="auto"/>
            <w:right w:val="none" w:sz="0" w:space="0" w:color="auto"/>
          </w:divBdr>
        </w:div>
        <w:div w:id="1097410771">
          <w:marLeft w:val="600"/>
          <w:marRight w:val="0"/>
          <w:marTop w:val="0"/>
          <w:marBottom w:val="0"/>
          <w:divBdr>
            <w:top w:val="none" w:sz="0" w:space="0" w:color="auto"/>
            <w:left w:val="none" w:sz="0" w:space="0" w:color="auto"/>
            <w:bottom w:val="none" w:sz="0" w:space="0" w:color="auto"/>
            <w:right w:val="none" w:sz="0" w:space="0" w:color="auto"/>
          </w:divBdr>
        </w:div>
        <w:div w:id="1095132990">
          <w:marLeft w:val="600"/>
          <w:marRight w:val="0"/>
          <w:marTop w:val="0"/>
          <w:marBottom w:val="0"/>
          <w:divBdr>
            <w:top w:val="none" w:sz="0" w:space="0" w:color="auto"/>
            <w:left w:val="none" w:sz="0" w:space="0" w:color="auto"/>
            <w:bottom w:val="none" w:sz="0" w:space="0" w:color="auto"/>
            <w:right w:val="none" w:sz="0" w:space="0" w:color="auto"/>
          </w:divBdr>
        </w:div>
        <w:div w:id="1260720566">
          <w:marLeft w:val="600"/>
          <w:marRight w:val="0"/>
          <w:marTop w:val="0"/>
          <w:marBottom w:val="0"/>
          <w:divBdr>
            <w:top w:val="none" w:sz="0" w:space="0" w:color="auto"/>
            <w:left w:val="none" w:sz="0" w:space="0" w:color="auto"/>
            <w:bottom w:val="none" w:sz="0" w:space="0" w:color="auto"/>
            <w:right w:val="none" w:sz="0" w:space="0" w:color="auto"/>
          </w:divBdr>
        </w:div>
        <w:div w:id="322587350">
          <w:marLeft w:val="600"/>
          <w:marRight w:val="0"/>
          <w:marTop w:val="0"/>
          <w:marBottom w:val="0"/>
          <w:divBdr>
            <w:top w:val="none" w:sz="0" w:space="0" w:color="auto"/>
            <w:left w:val="none" w:sz="0" w:space="0" w:color="auto"/>
            <w:bottom w:val="none" w:sz="0" w:space="0" w:color="auto"/>
            <w:right w:val="none" w:sz="0" w:space="0" w:color="auto"/>
          </w:divBdr>
        </w:div>
        <w:div w:id="574434114">
          <w:marLeft w:val="600"/>
          <w:marRight w:val="0"/>
          <w:marTop w:val="0"/>
          <w:marBottom w:val="0"/>
          <w:divBdr>
            <w:top w:val="none" w:sz="0" w:space="0" w:color="auto"/>
            <w:left w:val="none" w:sz="0" w:space="0" w:color="auto"/>
            <w:bottom w:val="none" w:sz="0" w:space="0" w:color="auto"/>
            <w:right w:val="none" w:sz="0" w:space="0" w:color="auto"/>
          </w:divBdr>
        </w:div>
        <w:div w:id="292181007">
          <w:marLeft w:val="600"/>
          <w:marRight w:val="0"/>
          <w:marTop w:val="0"/>
          <w:marBottom w:val="0"/>
          <w:divBdr>
            <w:top w:val="none" w:sz="0" w:space="0" w:color="auto"/>
            <w:left w:val="none" w:sz="0" w:space="0" w:color="auto"/>
            <w:bottom w:val="none" w:sz="0" w:space="0" w:color="auto"/>
            <w:right w:val="none" w:sz="0" w:space="0" w:color="auto"/>
          </w:divBdr>
        </w:div>
        <w:div w:id="1977681681">
          <w:marLeft w:val="600"/>
          <w:marRight w:val="0"/>
          <w:marTop w:val="0"/>
          <w:marBottom w:val="0"/>
          <w:divBdr>
            <w:top w:val="none" w:sz="0" w:space="0" w:color="auto"/>
            <w:left w:val="none" w:sz="0" w:space="0" w:color="auto"/>
            <w:bottom w:val="none" w:sz="0" w:space="0" w:color="auto"/>
            <w:right w:val="none" w:sz="0" w:space="0" w:color="auto"/>
          </w:divBdr>
        </w:div>
        <w:div w:id="584533673">
          <w:marLeft w:val="600"/>
          <w:marRight w:val="0"/>
          <w:marTop w:val="0"/>
          <w:marBottom w:val="0"/>
          <w:divBdr>
            <w:top w:val="none" w:sz="0" w:space="0" w:color="auto"/>
            <w:left w:val="none" w:sz="0" w:space="0" w:color="auto"/>
            <w:bottom w:val="none" w:sz="0" w:space="0" w:color="auto"/>
            <w:right w:val="none" w:sz="0" w:space="0" w:color="auto"/>
          </w:divBdr>
        </w:div>
        <w:div w:id="1654523490">
          <w:marLeft w:val="600"/>
          <w:marRight w:val="0"/>
          <w:marTop w:val="0"/>
          <w:marBottom w:val="0"/>
          <w:divBdr>
            <w:top w:val="none" w:sz="0" w:space="0" w:color="auto"/>
            <w:left w:val="none" w:sz="0" w:space="0" w:color="auto"/>
            <w:bottom w:val="none" w:sz="0" w:space="0" w:color="auto"/>
            <w:right w:val="none" w:sz="0" w:space="0" w:color="auto"/>
          </w:divBdr>
        </w:div>
        <w:div w:id="1814131715">
          <w:marLeft w:val="600"/>
          <w:marRight w:val="0"/>
          <w:marTop w:val="0"/>
          <w:marBottom w:val="0"/>
          <w:divBdr>
            <w:top w:val="none" w:sz="0" w:space="0" w:color="auto"/>
            <w:left w:val="none" w:sz="0" w:space="0" w:color="auto"/>
            <w:bottom w:val="none" w:sz="0" w:space="0" w:color="auto"/>
            <w:right w:val="none" w:sz="0" w:space="0" w:color="auto"/>
          </w:divBdr>
        </w:div>
        <w:div w:id="1304846198">
          <w:marLeft w:val="600"/>
          <w:marRight w:val="0"/>
          <w:marTop w:val="0"/>
          <w:marBottom w:val="0"/>
          <w:divBdr>
            <w:top w:val="none" w:sz="0" w:space="0" w:color="auto"/>
            <w:left w:val="none" w:sz="0" w:space="0" w:color="auto"/>
            <w:bottom w:val="none" w:sz="0" w:space="0" w:color="auto"/>
            <w:right w:val="none" w:sz="0" w:space="0" w:color="auto"/>
          </w:divBdr>
        </w:div>
        <w:div w:id="1616018487">
          <w:marLeft w:val="600"/>
          <w:marRight w:val="0"/>
          <w:marTop w:val="0"/>
          <w:marBottom w:val="0"/>
          <w:divBdr>
            <w:top w:val="none" w:sz="0" w:space="0" w:color="auto"/>
            <w:left w:val="none" w:sz="0" w:space="0" w:color="auto"/>
            <w:bottom w:val="none" w:sz="0" w:space="0" w:color="auto"/>
            <w:right w:val="none" w:sz="0" w:space="0" w:color="auto"/>
          </w:divBdr>
        </w:div>
        <w:div w:id="1841508459">
          <w:marLeft w:val="600"/>
          <w:marRight w:val="0"/>
          <w:marTop w:val="0"/>
          <w:marBottom w:val="0"/>
          <w:divBdr>
            <w:top w:val="none" w:sz="0" w:space="0" w:color="auto"/>
            <w:left w:val="none" w:sz="0" w:space="0" w:color="auto"/>
            <w:bottom w:val="none" w:sz="0" w:space="0" w:color="auto"/>
            <w:right w:val="none" w:sz="0" w:space="0" w:color="auto"/>
          </w:divBdr>
        </w:div>
        <w:div w:id="237831694">
          <w:marLeft w:val="600"/>
          <w:marRight w:val="0"/>
          <w:marTop w:val="0"/>
          <w:marBottom w:val="0"/>
          <w:divBdr>
            <w:top w:val="none" w:sz="0" w:space="0" w:color="auto"/>
            <w:left w:val="none" w:sz="0" w:space="0" w:color="auto"/>
            <w:bottom w:val="none" w:sz="0" w:space="0" w:color="auto"/>
            <w:right w:val="none" w:sz="0" w:space="0" w:color="auto"/>
          </w:divBdr>
        </w:div>
        <w:div w:id="1667435232">
          <w:marLeft w:val="600"/>
          <w:marRight w:val="0"/>
          <w:marTop w:val="0"/>
          <w:marBottom w:val="0"/>
          <w:divBdr>
            <w:top w:val="none" w:sz="0" w:space="0" w:color="auto"/>
            <w:left w:val="none" w:sz="0" w:space="0" w:color="auto"/>
            <w:bottom w:val="none" w:sz="0" w:space="0" w:color="auto"/>
            <w:right w:val="none" w:sz="0" w:space="0" w:color="auto"/>
          </w:divBdr>
        </w:div>
        <w:div w:id="1300301203">
          <w:marLeft w:val="600"/>
          <w:marRight w:val="0"/>
          <w:marTop w:val="0"/>
          <w:marBottom w:val="0"/>
          <w:divBdr>
            <w:top w:val="none" w:sz="0" w:space="0" w:color="auto"/>
            <w:left w:val="none" w:sz="0" w:space="0" w:color="auto"/>
            <w:bottom w:val="none" w:sz="0" w:space="0" w:color="auto"/>
            <w:right w:val="none" w:sz="0" w:space="0" w:color="auto"/>
          </w:divBdr>
        </w:div>
        <w:div w:id="1717045005">
          <w:marLeft w:val="600"/>
          <w:marRight w:val="0"/>
          <w:marTop w:val="0"/>
          <w:marBottom w:val="0"/>
          <w:divBdr>
            <w:top w:val="none" w:sz="0" w:space="0" w:color="auto"/>
            <w:left w:val="none" w:sz="0" w:space="0" w:color="auto"/>
            <w:bottom w:val="none" w:sz="0" w:space="0" w:color="auto"/>
            <w:right w:val="none" w:sz="0" w:space="0" w:color="auto"/>
          </w:divBdr>
        </w:div>
        <w:div w:id="243297248">
          <w:marLeft w:val="600"/>
          <w:marRight w:val="0"/>
          <w:marTop w:val="0"/>
          <w:marBottom w:val="0"/>
          <w:divBdr>
            <w:top w:val="none" w:sz="0" w:space="0" w:color="auto"/>
            <w:left w:val="none" w:sz="0" w:space="0" w:color="auto"/>
            <w:bottom w:val="none" w:sz="0" w:space="0" w:color="auto"/>
            <w:right w:val="none" w:sz="0" w:space="0" w:color="auto"/>
          </w:divBdr>
        </w:div>
        <w:div w:id="144126295">
          <w:marLeft w:val="600"/>
          <w:marRight w:val="0"/>
          <w:marTop w:val="0"/>
          <w:marBottom w:val="0"/>
          <w:divBdr>
            <w:top w:val="none" w:sz="0" w:space="0" w:color="auto"/>
            <w:left w:val="none" w:sz="0" w:space="0" w:color="auto"/>
            <w:bottom w:val="none" w:sz="0" w:space="0" w:color="auto"/>
            <w:right w:val="none" w:sz="0" w:space="0" w:color="auto"/>
          </w:divBdr>
        </w:div>
        <w:div w:id="2120055493">
          <w:marLeft w:val="600"/>
          <w:marRight w:val="0"/>
          <w:marTop w:val="0"/>
          <w:marBottom w:val="0"/>
          <w:divBdr>
            <w:top w:val="none" w:sz="0" w:space="0" w:color="auto"/>
            <w:left w:val="none" w:sz="0" w:space="0" w:color="auto"/>
            <w:bottom w:val="none" w:sz="0" w:space="0" w:color="auto"/>
            <w:right w:val="none" w:sz="0" w:space="0" w:color="auto"/>
          </w:divBdr>
        </w:div>
        <w:div w:id="719281662">
          <w:marLeft w:val="600"/>
          <w:marRight w:val="0"/>
          <w:marTop w:val="0"/>
          <w:marBottom w:val="0"/>
          <w:divBdr>
            <w:top w:val="none" w:sz="0" w:space="0" w:color="auto"/>
            <w:left w:val="none" w:sz="0" w:space="0" w:color="auto"/>
            <w:bottom w:val="none" w:sz="0" w:space="0" w:color="auto"/>
            <w:right w:val="none" w:sz="0" w:space="0" w:color="auto"/>
          </w:divBdr>
        </w:div>
        <w:div w:id="1812748303">
          <w:marLeft w:val="1200"/>
          <w:marRight w:val="0"/>
          <w:marTop w:val="0"/>
          <w:marBottom w:val="0"/>
          <w:divBdr>
            <w:top w:val="none" w:sz="0" w:space="0" w:color="auto"/>
            <w:left w:val="none" w:sz="0" w:space="0" w:color="auto"/>
            <w:bottom w:val="none" w:sz="0" w:space="0" w:color="auto"/>
            <w:right w:val="none" w:sz="0" w:space="0" w:color="auto"/>
          </w:divBdr>
        </w:div>
        <w:div w:id="1305769264">
          <w:marLeft w:val="600"/>
          <w:marRight w:val="0"/>
          <w:marTop w:val="0"/>
          <w:marBottom w:val="0"/>
          <w:divBdr>
            <w:top w:val="none" w:sz="0" w:space="0" w:color="auto"/>
            <w:left w:val="none" w:sz="0" w:space="0" w:color="auto"/>
            <w:bottom w:val="none" w:sz="0" w:space="0" w:color="auto"/>
            <w:right w:val="none" w:sz="0" w:space="0" w:color="auto"/>
          </w:divBdr>
        </w:div>
        <w:div w:id="1710572579">
          <w:marLeft w:val="600"/>
          <w:marRight w:val="0"/>
          <w:marTop w:val="0"/>
          <w:marBottom w:val="0"/>
          <w:divBdr>
            <w:top w:val="none" w:sz="0" w:space="0" w:color="auto"/>
            <w:left w:val="none" w:sz="0" w:space="0" w:color="auto"/>
            <w:bottom w:val="none" w:sz="0" w:space="0" w:color="auto"/>
            <w:right w:val="none" w:sz="0" w:space="0" w:color="auto"/>
          </w:divBdr>
        </w:div>
        <w:div w:id="102501003">
          <w:marLeft w:val="600"/>
          <w:marRight w:val="0"/>
          <w:marTop w:val="0"/>
          <w:marBottom w:val="0"/>
          <w:divBdr>
            <w:top w:val="none" w:sz="0" w:space="0" w:color="auto"/>
            <w:left w:val="none" w:sz="0" w:space="0" w:color="auto"/>
            <w:bottom w:val="none" w:sz="0" w:space="0" w:color="auto"/>
            <w:right w:val="none" w:sz="0" w:space="0" w:color="auto"/>
          </w:divBdr>
        </w:div>
        <w:div w:id="133108073">
          <w:marLeft w:val="600"/>
          <w:marRight w:val="0"/>
          <w:marTop w:val="0"/>
          <w:marBottom w:val="0"/>
          <w:divBdr>
            <w:top w:val="none" w:sz="0" w:space="0" w:color="auto"/>
            <w:left w:val="none" w:sz="0" w:space="0" w:color="auto"/>
            <w:bottom w:val="none" w:sz="0" w:space="0" w:color="auto"/>
            <w:right w:val="none" w:sz="0" w:space="0" w:color="auto"/>
          </w:divBdr>
        </w:div>
        <w:div w:id="1859004444">
          <w:marLeft w:val="600"/>
          <w:marRight w:val="0"/>
          <w:marTop w:val="0"/>
          <w:marBottom w:val="0"/>
          <w:divBdr>
            <w:top w:val="none" w:sz="0" w:space="0" w:color="auto"/>
            <w:left w:val="none" w:sz="0" w:space="0" w:color="auto"/>
            <w:bottom w:val="none" w:sz="0" w:space="0" w:color="auto"/>
            <w:right w:val="none" w:sz="0" w:space="0" w:color="auto"/>
          </w:divBdr>
        </w:div>
        <w:div w:id="1614290292">
          <w:marLeft w:val="600"/>
          <w:marRight w:val="0"/>
          <w:marTop w:val="0"/>
          <w:marBottom w:val="0"/>
          <w:divBdr>
            <w:top w:val="none" w:sz="0" w:space="0" w:color="auto"/>
            <w:left w:val="none" w:sz="0" w:space="0" w:color="auto"/>
            <w:bottom w:val="none" w:sz="0" w:space="0" w:color="auto"/>
            <w:right w:val="none" w:sz="0" w:space="0" w:color="auto"/>
          </w:divBdr>
        </w:div>
        <w:div w:id="1861316032">
          <w:marLeft w:val="600"/>
          <w:marRight w:val="0"/>
          <w:marTop w:val="0"/>
          <w:marBottom w:val="0"/>
          <w:divBdr>
            <w:top w:val="none" w:sz="0" w:space="0" w:color="auto"/>
            <w:left w:val="none" w:sz="0" w:space="0" w:color="auto"/>
            <w:bottom w:val="none" w:sz="0" w:space="0" w:color="auto"/>
            <w:right w:val="none" w:sz="0" w:space="0" w:color="auto"/>
          </w:divBdr>
        </w:div>
        <w:div w:id="1976442982">
          <w:marLeft w:val="1200"/>
          <w:marRight w:val="0"/>
          <w:marTop w:val="0"/>
          <w:marBottom w:val="0"/>
          <w:divBdr>
            <w:top w:val="none" w:sz="0" w:space="0" w:color="auto"/>
            <w:left w:val="none" w:sz="0" w:space="0" w:color="auto"/>
            <w:bottom w:val="none" w:sz="0" w:space="0" w:color="auto"/>
            <w:right w:val="none" w:sz="0" w:space="0" w:color="auto"/>
          </w:divBdr>
        </w:div>
        <w:div w:id="145246717">
          <w:marLeft w:val="1200"/>
          <w:marRight w:val="0"/>
          <w:marTop w:val="0"/>
          <w:marBottom w:val="0"/>
          <w:divBdr>
            <w:top w:val="none" w:sz="0" w:space="0" w:color="auto"/>
            <w:left w:val="none" w:sz="0" w:space="0" w:color="auto"/>
            <w:bottom w:val="none" w:sz="0" w:space="0" w:color="auto"/>
            <w:right w:val="none" w:sz="0" w:space="0" w:color="auto"/>
          </w:divBdr>
        </w:div>
        <w:div w:id="271863579">
          <w:marLeft w:val="1200"/>
          <w:marRight w:val="0"/>
          <w:marTop w:val="0"/>
          <w:marBottom w:val="0"/>
          <w:divBdr>
            <w:top w:val="none" w:sz="0" w:space="0" w:color="auto"/>
            <w:left w:val="none" w:sz="0" w:space="0" w:color="auto"/>
            <w:bottom w:val="none" w:sz="0" w:space="0" w:color="auto"/>
            <w:right w:val="none" w:sz="0" w:space="0" w:color="auto"/>
          </w:divBdr>
        </w:div>
        <w:div w:id="1887332990">
          <w:marLeft w:val="600"/>
          <w:marRight w:val="0"/>
          <w:marTop w:val="0"/>
          <w:marBottom w:val="0"/>
          <w:divBdr>
            <w:top w:val="none" w:sz="0" w:space="0" w:color="auto"/>
            <w:left w:val="none" w:sz="0" w:space="0" w:color="auto"/>
            <w:bottom w:val="none" w:sz="0" w:space="0" w:color="auto"/>
            <w:right w:val="none" w:sz="0" w:space="0" w:color="auto"/>
          </w:divBdr>
        </w:div>
        <w:div w:id="251546081">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1454</Words>
  <Characters>8290</Characters>
  <Application>Microsoft Office Word</Application>
  <DocSecurity>0</DocSecurity>
  <Lines>69</Lines>
  <Paragraphs>19</Paragraphs>
  <ScaleCrop>false</ScaleCrop>
  <Company/>
  <LinksUpToDate>false</LinksUpToDate>
  <CharactersWithSpaces>9725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KinhcanLap</dc:creator>
  <cp:keywords/>
  <dc:description/>
  <cp:lastModifiedBy>KinhcanLap</cp:lastModifiedBy>
  <cp:revision>2</cp:revision>
  <dcterms:created xsi:type="dcterms:W3CDTF">2016-02-27T14:44:00Z</dcterms:created>
  <dcterms:modified xsi:type="dcterms:W3CDTF">2016-02-27T14:45:00Z</dcterms:modified>
</cp:coreProperties>
</file>